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3BB6" w14:textId="77777777" w:rsidR="00EF30E6" w:rsidRDefault="00000000">
      <w:pPr>
        <w:pStyle w:val="Title"/>
        <w:spacing w:line="360" w:lineRule="auto"/>
        <w:rPr>
          <w:rFonts w:ascii="Times New Roman" w:eastAsia="Times New Roman" w:hAnsi="Times New Roman" w:cs="Times New Roman"/>
          <w:b/>
          <w:sz w:val="54"/>
          <w:szCs w:val="54"/>
        </w:rPr>
      </w:pPr>
      <w:bookmarkStart w:id="0" w:name="_gikpgabulx3a" w:colFirst="0" w:colLast="0"/>
      <w:bookmarkEnd w:id="0"/>
      <w:r>
        <w:rPr>
          <w:rFonts w:ascii="Times New Roman" w:eastAsia="Times New Roman" w:hAnsi="Times New Roman" w:cs="Times New Roman"/>
          <w:b/>
          <w:color w:val="444746"/>
          <w:sz w:val="35"/>
          <w:szCs w:val="35"/>
          <w:highlight w:val="white"/>
        </w:rPr>
        <w:t>Genomic changes are varied across congeneric species pairs</w:t>
      </w:r>
    </w:p>
    <w:p w14:paraId="4FF3781A" w14:textId="77777777" w:rsidR="00EF30E6" w:rsidRDefault="00EF30E6">
      <w:pPr>
        <w:spacing w:line="360" w:lineRule="auto"/>
        <w:rPr>
          <w:rFonts w:ascii="Times New Roman" w:eastAsia="Times New Roman" w:hAnsi="Times New Roman" w:cs="Times New Roman"/>
          <w:sz w:val="24"/>
          <w:szCs w:val="24"/>
        </w:rPr>
      </w:pPr>
    </w:p>
    <w:p w14:paraId="4A53661F" w14:textId="77777777" w:rsidR="00EF30E6" w:rsidRPr="00B01004" w:rsidRDefault="00000000">
      <w:pPr>
        <w:spacing w:line="360" w:lineRule="auto"/>
        <w:rPr>
          <w:rFonts w:ascii="Times New Roman" w:hAnsi="Times New Roman"/>
          <w:sz w:val="24"/>
          <w:lang w:val="de-DE"/>
          <w:rPrChange w:id="1" w:author="Author" w:date="2024-12-27T12:21:00Z" w16du:dateUtc="2024-12-27T11:21:00Z">
            <w:rPr>
              <w:rFonts w:ascii="Times New Roman" w:hAnsi="Times New Roman"/>
              <w:sz w:val="24"/>
              <w:lang w:val="de-DE"/>
            </w:rPr>
          </w:rPrChange>
        </w:rPr>
      </w:pPr>
      <w:r w:rsidRPr="00B01004">
        <w:rPr>
          <w:rFonts w:ascii="Times New Roman" w:hAnsi="Times New Roman"/>
          <w:sz w:val="24"/>
          <w:lang w:val="de-DE"/>
        </w:rPr>
        <w:t>Francis, Warren R.</w:t>
      </w:r>
      <w:r w:rsidRPr="00B01004">
        <w:rPr>
          <w:rFonts w:ascii="Times New Roman" w:hAnsi="Times New Roman"/>
          <w:sz w:val="24"/>
          <w:vertAlign w:val="superscript"/>
          <w:lang w:val="de-DE"/>
          <w:rPrChange w:id="2" w:author="Author" w:date="2024-12-27T12:21:00Z" w16du:dateUtc="2024-12-27T11:21:00Z">
            <w:rPr>
              <w:rFonts w:ascii="Times New Roman" w:hAnsi="Times New Roman"/>
              <w:sz w:val="24"/>
              <w:vertAlign w:val="superscript"/>
              <w:lang w:val="de-DE"/>
            </w:rPr>
          </w:rPrChange>
        </w:rPr>
        <w:t>1</w:t>
      </w:r>
      <w:r w:rsidRPr="00B01004">
        <w:rPr>
          <w:rFonts w:ascii="Times New Roman" w:hAnsi="Times New Roman"/>
          <w:sz w:val="24"/>
          <w:lang w:val="de-DE"/>
          <w:rPrChange w:id="3" w:author="Author" w:date="2024-12-27T12:21:00Z" w16du:dateUtc="2024-12-27T11:21:00Z">
            <w:rPr>
              <w:rFonts w:ascii="Times New Roman" w:hAnsi="Times New Roman"/>
              <w:sz w:val="24"/>
              <w:lang w:val="de-DE"/>
            </w:rPr>
          </w:rPrChange>
        </w:rPr>
        <w:t>; Vargas, Sergio</w:t>
      </w:r>
      <w:r w:rsidRPr="00B01004">
        <w:rPr>
          <w:rFonts w:ascii="Times New Roman" w:hAnsi="Times New Roman"/>
          <w:sz w:val="24"/>
          <w:vertAlign w:val="superscript"/>
          <w:lang w:val="de-DE"/>
          <w:rPrChange w:id="4" w:author="Author" w:date="2024-12-27T12:21:00Z" w16du:dateUtc="2024-12-27T11:21:00Z">
            <w:rPr>
              <w:rFonts w:ascii="Times New Roman" w:hAnsi="Times New Roman"/>
              <w:sz w:val="24"/>
              <w:vertAlign w:val="superscript"/>
              <w:lang w:val="de-DE"/>
            </w:rPr>
          </w:rPrChange>
        </w:rPr>
        <w:t>1</w:t>
      </w:r>
      <w:r w:rsidRPr="00B01004">
        <w:rPr>
          <w:rFonts w:ascii="Times New Roman" w:hAnsi="Times New Roman"/>
          <w:sz w:val="24"/>
          <w:lang w:val="de-DE"/>
          <w:rPrChange w:id="5" w:author="Author" w:date="2024-12-27T12:21:00Z" w16du:dateUtc="2024-12-27T11:21:00Z">
            <w:rPr>
              <w:rFonts w:ascii="Times New Roman" w:hAnsi="Times New Roman"/>
              <w:sz w:val="24"/>
              <w:lang w:val="de-DE"/>
            </w:rPr>
          </w:rPrChange>
        </w:rPr>
        <w:t>; Wörheide, Gert</w:t>
      </w:r>
      <w:r w:rsidRPr="00B01004">
        <w:rPr>
          <w:rFonts w:ascii="Times New Roman" w:hAnsi="Times New Roman"/>
          <w:sz w:val="24"/>
          <w:vertAlign w:val="superscript"/>
          <w:lang w:val="de-DE"/>
          <w:rPrChange w:id="6" w:author="Author" w:date="2024-12-27T12:21:00Z" w16du:dateUtc="2024-12-27T11:21:00Z">
            <w:rPr>
              <w:rFonts w:ascii="Times New Roman" w:hAnsi="Times New Roman"/>
              <w:sz w:val="24"/>
              <w:vertAlign w:val="superscript"/>
              <w:lang w:val="de-DE"/>
            </w:rPr>
          </w:rPrChange>
        </w:rPr>
        <w:t>1,2,3,*</w:t>
      </w:r>
    </w:p>
    <w:p w14:paraId="7C818395" w14:textId="77777777" w:rsidR="00EF30E6" w:rsidRPr="00B01004" w:rsidRDefault="00EF30E6">
      <w:pPr>
        <w:spacing w:line="360" w:lineRule="auto"/>
        <w:rPr>
          <w:rFonts w:ascii="Times New Roman" w:hAnsi="Times New Roman"/>
          <w:sz w:val="24"/>
          <w:lang w:val="de-DE"/>
        </w:rPr>
      </w:pPr>
    </w:p>
    <w:p w14:paraId="0FA1E08B" w14:textId="77777777" w:rsidR="00EF30E6" w:rsidRDefault="00000000">
      <w:pPr>
        <w:spacing w:line="360" w:lineRule="auto"/>
        <w:rPr>
          <w:rFonts w:ascii="Cambria" w:eastAsia="Cambria" w:hAnsi="Cambria" w:cs="Cambria"/>
          <w:sz w:val="20"/>
          <w:szCs w:val="20"/>
        </w:rPr>
      </w:pPr>
      <w:r>
        <w:rPr>
          <w:rFonts w:ascii="Times New Roman" w:eastAsia="Times New Roman" w:hAnsi="Times New Roman" w:cs="Times New Roman"/>
          <w:sz w:val="20"/>
          <w:szCs w:val="20"/>
          <w:vertAlign w:val="superscript"/>
        </w:rPr>
        <w:t xml:space="preserve">1 </w:t>
      </w:r>
      <w:r>
        <w:rPr>
          <w:rFonts w:ascii="Cambria" w:eastAsia="Cambria" w:hAnsi="Cambria" w:cs="Cambria"/>
          <w:sz w:val="20"/>
          <w:szCs w:val="20"/>
        </w:rPr>
        <w:t>Department of Earth and Environmental Sciences, Paleontology and Geobiology, Ludwig-Maximilians-Universität München, Munich, Germany.</w:t>
      </w:r>
    </w:p>
    <w:p w14:paraId="5030003F" w14:textId="77777777" w:rsidR="00EF30E6" w:rsidRPr="00B01004" w:rsidRDefault="00000000">
      <w:pPr>
        <w:spacing w:line="360" w:lineRule="auto"/>
        <w:rPr>
          <w:rFonts w:ascii="Cambria" w:hAnsi="Cambria"/>
          <w:sz w:val="20"/>
          <w:lang w:val="de-DE"/>
          <w:rPrChange w:id="7" w:author="Author" w:date="2024-12-27T12:21:00Z" w16du:dateUtc="2024-12-27T11:21:00Z">
            <w:rPr>
              <w:rFonts w:ascii="Cambria" w:hAnsi="Cambria"/>
              <w:sz w:val="20"/>
              <w:lang w:val="de-DE"/>
            </w:rPr>
          </w:rPrChange>
        </w:rPr>
      </w:pPr>
      <w:r w:rsidRPr="00B01004">
        <w:rPr>
          <w:rFonts w:ascii="Times New Roman" w:hAnsi="Times New Roman"/>
          <w:sz w:val="20"/>
          <w:vertAlign w:val="superscript"/>
          <w:lang w:val="de-DE"/>
        </w:rPr>
        <w:t xml:space="preserve">2 </w:t>
      </w:r>
      <w:r w:rsidRPr="00B01004">
        <w:rPr>
          <w:rFonts w:ascii="Cambria" w:hAnsi="Cambria"/>
          <w:sz w:val="20"/>
          <w:lang w:val="de-DE"/>
          <w:rPrChange w:id="8" w:author="Author" w:date="2024-12-27T12:21:00Z" w16du:dateUtc="2024-12-27T11:21:00Z">
            <w:rPr>
              <w:rFonts w:ascii="Cambria" w:hAnsi="Cambria"/>
              <w:sz w:val="20"/>
              <w:lang w:val="de-DE"/>
            </w:rPr>
          </w:rPrChange>
        </w:rPr>
        <w:t>GeoBio-Center, Ludwig-Maximilians-Universität München, Munich, Germany</w:t>
      </w:r>
    </w:p>
    <w:p w14:paraId="5C86633A" w14:textId="77777777" w:rsidR="00EF30E6" w:rsidRPr="00B01004" w:rsidRDefault="00000000">
      <w:pPr>
        <w:spacing w:line="360" w:lineRule="auto"/>
        <w:rPr>
          <w:rFonts w:ascii="Cambria" w:hAnsi="Cambria"/>
          <w:sz w:val="20"/>
          <w:lang w:val="de-DE"/>
          <w:rPrChange w:id="9" w:author="Author" w:date="2024-12-27T12:21:00Z" w16du:dateUtc="2024-12-27T11:21:00Z">
            <w:rPr>
              <w:rFonts w:ascii="Cambria" w:hAnsi="Cambria"/>
              <w:sz w:val="20"/>
              <w:lang w:val="de-DE"/>
            </w:rPr>
          </w:rPrChange>
        </w:rPr>
      </w:pPr>
      <w:r w:rsidRPr="00B01004">
        <w:rPr>
          <w:rFonts w:ascii="Times New Roman" w:hAnsi="Times New Roman"/>
          <w:sz w:val="20"/>
          <w:vertAlign w:val="superscript"/>
          <w:lang w:val="de-DE"/>
        </w:rPr>
        <w:t xml:space="preserve">3  </w:t>
      </w:r>
      <w:r w:rsidRPr="00B01004">
        <w:rPr>
          <w:rFonts w:ascii="Cambria" w:hAnsi="Cambria"/>
          <w:sz w:val="20"/>
          <w:lang w:val="de-DE"/>
          <w:rPrChange w:id="10" w:author="Author" w:date="2024-12-27T12:21:00Z" w16du:dateUtc="2024-12-27T11:21:00Z">
            <w:rPr>
              <w:rFonts w:ascii="Cambria" w:hAnsi="Cambria"/>
              <w:sz w:val="20"/>
              <w:lang w:val="de-DE"/>
            </w:rPr>
          </w:rPrChange>
        </w:rPr>
        <w:t xml:space="preserve">Staatliche Naturwissenschaftliche Sammlungen Bayerns (SNSB)–Bayerische Staatssammlung für </w:t>
      </w:r>
      <w:r w:rsidRPr="00B01004">
        <w:rPr>
          <w:rFonts w:ascii="Cambria" w:hAnsi="Cambria"/>
          <w:sz w:val="20"/>
          <w:lang w:val="de-DE"/>
        </w:rPr>
        <w:t>Paläontologie und Geologie, Munich, Germany</w:t>
      </w:r>
    </w:p>
    <w:p w14:paraId="2A9988F4" w14:textId="77777777" w:rsidR="00EF30E6" w:rsidRPr="00B01004" w:rsidRDefault="00EF30E6">
      <w:pPr>
        <w:spacing w:line="360" w:lineRule="auto"/>
        <w:rPr>
          <w:rFonts w:ascii="Times New Roman" w:hAnsi="Times New Roman"/>
          <w:sz w:val="24"/>
          <w:vertAlign w:val="superscript"/>
          <w:lang w:val="de-DE"/>
        </w:rPr>
      </w:pPr>
    </w:p>
    <w:p w14:paraId="5F27CD28"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Corresponding author: woerheide@lmu.de</w:t>
      </w:r>
    </w:p>
    <w:p w14:paraId="4D45D44B" w14:textId="77777777" w:rsidR="00B44343" w:rsidRDefault="00B44343">
      <w:pPr>
        <w:spacing w:line="360" w:lineRule="auto"/>
        <w:rPr>
          <w:del w:id="11" w:author="Author" w:date="2024-12-27T12:21:00Z" w16du:dateUtc="2024-12-27T11:21:00Z"/>
          <w:rFonts w:ascii="Times New Roman" w:eastAsia="Times New Roman" w:hAnsi="Times New Roman" w:cs="Times New Roman"/>
        </w:rPr>
      </w:pPr>
      <w:bookmarkStart w:id="12" w:name="_w8h7gd4q8hbq" w:colFirst="0" w:colLast="0"/>
      <w:bookmarkEnd w:id="12"/>
    </w:p>
    <w:p w14:paraId="0AEE16D1" w14:textId="77777777" w:rsidR="00B44343" w:rsidRDefault="00B44343">
      <w:pPr>
        <w:spacing w:line="360" w:lineRule="auto"/>
        <w:rPr>
          <w:del w:id="13" w:author="Author" w:date="2024-12-27T12:21:00Z" w16du:dateUtc="2024-12-27T11:21:00Z"/>
          <w:rFonts w:ascii="Times New Roman" w:eastAsia="Times New Roman" w:hAnsi="Times New Roman" w:cs="Times New Roman"/>
        </w:rPr>
      </w:pPr>
    </w:p>
    <w:p w14:paraId="14F6738A" w14:textId="77777777" w:rsidR="00EF30E6" w:rsidRDefault="00000000">
      <w:pPr>
        <w:pStyle w:val="Heading2"/>
        <w:spacing w:line="360" w:lineRule="auto"/>
      </w:pPr>
      <w:r>
        <w:t>Abstract</w:t>
      </w:r>
    </w:p>
    <w:p w14:paraId="4DBB4036"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Synteny, the shared arrangement of genes on chromosomes between related species, is a marker of shared ancestry, and synteny-breaking events can result in genomic incompatibilities between populations and ultimately lead to speciation events. Despite its pivotal role as a driver of speciation, the role of synteny breaks on speciation is poorly studied due to a lack of chromosome-level genome assemblies for a taxonomically broad sample of organisms. Here, using 22 congeneric animal genome pairs, we find a link between protein identity, microsynteny, and macrosynteny, but no evidence for a universal path of genomic change during divergence. We observed varied trajectories of synteny conservation relative to protein identity in non-model organisms, with many species pairs showing no karyotypic changes and others displaying large genomic rearrangements. This contrasts with previous studies on model organisms and indicates that the genomic changes preceding or resulting from speciation are likely very contextual between clades.</w:t>
      </w:r>
    </w:p>
    <w:p w14:paraId="239B319C" w14:textId="77777777" w:rsidR="00EF30E6" w:rsidRDefault="00000000">
      <w:pPr>
        <w:pStyle w:val="Heading2"/>
        <w:spacing w:line="360" w:lineRule="auto"/>
      </w:pPr>
      <w:bookmarkStart w:id="14" w:name="_dempi2rc2q5p" w:colFirst="0" w:colLast="0"/>
      <w:bookmarkEnd w:id="14"/>
      <w:r>
        <w:t>Introduction</w:t>
      </w:r>
    </w:p>
    <w:p w14:paraId="13CAE6EC"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 “species” is a fundamental concept in biology, and many different concepts – at least 26 – exist of what constitutes a species and how species should be defined and delineated </w:t>
      </w:r>
      <w:r>
        <w:fldChar w:fldCharType="begin"/>
      </w:r>
      <w:r>
        <w:instrText>HYPERLINK "https://paperpile.com/c/pirA7c/6DMt+vk0a+EbyG" \h</w:instrText>
      </w:r>
      <w:r>
        <w:fldChar w:fldCharType="separate"/>
      </w:r>
      <w:r>
        <w:rPr>
          <w:rFonts w:ascii="Times New Roman" w:eastAsia="Times New Roman" w:hAnsi="Times New Roman" w:cs="Times New Roman"/>
          <w:color w:val="000000"/>
        </w:rPr>
        <w:t>(De Queiroz 2007; Hausdorf 2011; Zachos 2016)</w:t>
      </w:r>
      <w:r>
        <w:fldChar w:fldCharType="end"/>
      </w:r>
      <w:r>
        <w:rPr>
          <w:rFonts w:ascii="Times New Roman" w:eastAsia="Times New Roman" w:hAnsi="Times New Roman" w:cs="Times New Roman"/>
        </w:rPr>
        <w:t xml:space="preserve">. Delimiting species and correctly assessing species numbers in an ecosystem is essential to assess, for example, the resilience of species assemblages and ecosystems to environmental challenges, with consequences for biodiversity conservation and management </w:t>
      </w:r>
      <w:r>
        <w:fldChar w:fldCharType="begin"/>
      </w:r>
      <w:r>
        <w:instrText>HYPERLINK "https://paperpile.com/c/pirA7c/Lbji+rqtN" \h</w:instrText>
      </w:r>
      <w:r>
        <w:fldChar w:fldCharType="separate"/>
      </w:r>
      <w:r>
        <w:rPr>
          <w:rFonts w:ascii="Times New Roman" w:eastAsia="Times New Roman" w:hAnsi="Times New Roman" w:cs="Times New Roman"/>
          <w:color w:val="000000"/>
        </w:rPr>
        <w:t>(Hey et al. 2003; Frankham et al. 2012)</w:t>
      </w:r>
      <w:r>
        <w:fldChar w:fldCharType="end"/>
      </w:r>
      <w:r>
        <w:rPr>
          <w:rFonts w:ascii="Times New Roman" w:eastAsia="Times New Roman" w:hAnsi="Times New Roman" w:cs="Times New Roman"/>
        </w:rPr>
        <w:t xml:space="preserve">. Probably the most important species concept proposed is the </w:t>
      </w:r>
      <w:r>
        <w:rPr>
          <w:rFonts w:ascii="Times New Roman" w:eastAsia="Times New Roman" w:hAnsi="Times New Roman" w:cs="Times New Roman"/>
        </w:rPr>
        <w:lastRenderedPageBreak/>
        <w:t xml:space="preserve">“biological species” of Ernst Mayr </w:t>
      </w:r>
      <w:r>
        <w:fldChar w:fldCharType="begin"/>
      </w:r>
      <w:r>
        <w:instrText>HYPERLINK "https://paperpile.com/c/pirA7c/wkWp" \h</w:instrText>
      </w:r>
      <w:r>
        <w:fldChar w:fldCharType="separate"/>
      </w:r>
      <w:r>
        <w:rPr>
          <w:rFonts w:ascii="Times New Roman" w:eastAsia="Times New Roman" w:hAnsi="Times New Roman" w:cs="Times New Roman"/>
          <w:color w:val="000000"/>
        </w:rPr>
        <w:t>(Mayr 1942)</w:t>
      </w:r>
      <w:r>
        <w:fldChar w:fldCharType="end"/>
      </w:r>
      <w:r>
        <w:rPr>
          <w:rFonts w:ascii="Times New Roman" w:eastAsia="Times New Roman" w:hAnsi="Times New Roman" w:cs="Times New Roman"/>
        </w:rPr>
        <w:t>. Mayr defined species as “</w:t>
      </w:r>
      <w:r>
        <w:rPr>
          <w:rFonts w:ascii="Times New Roman" w:eastAsia="Times New Roman" w:hAnsi="Times New Roman" w:cs="Times New Roman"/>
          <w:i/>
        </w:rPr>
        <w:t>groups of actually or potentially interbreeding natural populations, which are reproductively isolated from other such groups</w:t>
      </w:r>
      <w:r>
        <w:rPr>
          <w:rFonts w:ascii="Times New Roman" w:eastAsia="Times New Roman" w:hAnsi="Times New Roman" w:cs="Times New Roman"/>
        </w:rPr>
        <w:t xml:space="preserve">”. This condition is only testable for (a few) species that can be bred under controlled conditions, for example, domesticated species or organisms that can be easily kept in the laboratory  (rodents, flowers, etc.). However, it may be very difficult or impossible to directly test for most organisms, especially marine species. Hence, other “more practical” species concepts, such as the phylogenetic species concept, the evolutionary species concept, and the morphological species concept, are frequently used </w:t>
      </w:r>
      <w:r>
        <w:fldChar w:fldCharType="begin"/>
      </w:r>
      <w:r>
        <w:instrText>HYPERLINK "https://paperpile.com/c/pirA7c/osjm+Lbji/?prefix=reviewed%20in," \h</w:instrText>
      </w:r>
      <w:r>
        <w:fldChar w:fldCharType="separate"/>
      </w:r>
      <w:r>
        <w:rPr>
          <w:rFonts w:ascii="Times New Roman" w:eastAsia="Times New Roman" w:hAnsi="Times New Roman" w:cs="Times New Roman"/>
          <w:color w:val="000000"/>
        </w:rPr>
        <w:t>(reviewed in Ghiselin 2010; Frankham et al. 2012)</w:t>
      </w:r>
      <w:r>
        <w:fldChar w:fldCharType="end"/>
      </w:r>
      <w:r>
        <w:rPr>
          <w:rFonts w:ascii="Times New Roman" w:eastAsia="Times New Roman" w:hAnsi="Times New Roman" w:cs="Times New Roman"/>
        </w:rPr>
        <w:t>.</w:t>
      </w:r>
    </w:p>
    <w:p w14:paraId="6A099684" w14:textId="77777777" w:rsidR="00EF30E6" w:rsidRDefault="00EF30E6">
      <w:pPr>
        <w:spacing w:line="360" w:lineRule="auto"/>
        <w:rPr>
          <w:rFonts w:ascii="Times New Roman" w:eastAsia="Times New Roman" w:hAnsi="Times New Roman" w:cs="Times New Roman"/>
        </w:rPr>
      </w:pPr>
    </w:p>
    <w:p w14:paraId="0CE03B4B"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Under the biological species concept, reproductive isolation is key. This is because even if the exact mechanisms leading to the reproductive isolation of two or more populations remain unknown, it is predicted that reproductively isolated populations will become genetically incompatible with time through the accumulation of random mutations (i.e., Dobzhansky-Müller incompatibilities ) in their genomes </w:t>
      </w:r>
      <w:r>
        <w:fldChar w:fldCharType="begin"/>
      </w:r>
      <w:r>
        <w:instrText>HYPERLINK "https://paperpile.com/c/pirA7c/tLOj" \h</w:instrText>
      </w:r>
      <w:r>
        <w:fldChar w:fldCharType="separate"/>
      </w:r>
      <w:r>
        <w:rPr>
          <w:rFonts w:ascii="Times New Roman" w:eastAsia="Times New Roman" w:hAnsi="Times New Roman" w:cs="Times New Roman"/>
          <w:color w:val="000000"/>
        </w:rPr>
        <w:t>(Orr 1996)</w:t>
      </w:r>
      <w:r>
        <w:fldChar w:fldCharType="end"/>
      </w:r>
      <w:r>
        <w:rPr>
          <w:rFonts w:ascii="Times New Roman" w:eastAsia="Times New Roman" w:hAnsi="Times New Roman" w:cs="Times New Roman"/>
        </w:rPr>
        <w:t xml:space="preserve">. Importantly, this process can occur if the populations are under selection or can proceed under pure genetic drift. Thus, the accumulation of Dobzhansky-Müller incompatibilities provides a universal mechanism whereby species could arise in nature. For instance, genetic incompatibilities leading to hybrid inviability have been detected in mice </w:t>
      </w:r>
      <w:r>
        <w:fldChar w:fldCharType="begin"/>
      </w:r>
      <w:r>
        <w:instrText>HYPERLINK "https://paperpile.com/c/pirA7c/hNvr+PbIj" \h</w:instrText>
      </w:r>
      <w:r>
        <w:fldChar w:fldCharType="separate"/>
      </w:r>
      <w:r>
        <w:rPr>
          <w:rFonts w:ascii="Times New Roman" w:eastAsia="Times New Roman" w:hAnsi="Times New Roman" w:cs="Times New Roman"/>
          <w:color w:val="000000"/>
        </w:rPr>
        <w:t>(Zechner et al. 1996; Vrana et al. 2000)</w:t>
      </w:r>
      <w:r>
        <w:fldChar w:fldCharType="end"/>
      </w:r>
      <w:r>
        <w:rPr>
          <w:rFonts w:ascii="Times New Roman" w:eastAsia="Times New Roman" w:hAnsi="Times New Roman" w:cs="Times New Roman"/>
        </w:rPr>
        <w:t xml:space="preserve">, and in shrimp sperm/eggs recognition incompatibility has been described </w:t>
      </w:r>
      <w:r>
        <w:fldChar w:fldCharType="begin"/>
      </w:r>
      <w:r>
        <w:instrText>HYPERLINK "https://paperpile.com/c/pirA7c/Fask" \h</w:instrText>
      </w:r>
      <w:r>
        <w:fldChar w:fldCharType="separate"/>
      </w:r>
      <w:r>
        <w:rPr>
          <w:rFonts w:ascii="Times New Roman" w:eastAsia="Times New Roman" w:hAnsi="Times New Roman" w:cs="Times New Roman"/>
          <w:color w:val="000000"/>
        </w:rPr>
        <w:t>(Ulate and Alfaro-Montoya 2010)</w:t>
      </w:r>
      <w:r>
        <w:fldChar w:fldCharType="end"/>
      </w:r>
      <w:r>
        <w:rPr>
          <w:rFonts w:ascii="Times New Roman" w:eastAsia="Times New Roman" w:hAnsi="Times New Roman" w:cs="Times New Roman"/>
        </w:rPr>
        <w:t>. However, the genomic causes leading to genetic incompatibility and, eventually, hybrid inviability remain to be assessed for most species.</w:t>
      </w:r>
    </w:p>
    <w:p w14:paraId="114F70F5" w14:textId="77777777" w:rsidR="00EF30E6" w:rsidRDefault="00EF30E6">
      <w:pPr>
        <w:spacing w:line="360" w:lineRule="auto"/>
        <w:rPr>
          <w:rFonts w:ascii="Times New Roman" w:eastAsia="Times New Roman" w:hAnsi="Times New Roman" w:cs="Times New Roman"/>
        </w:rPr>
      </w:pPr>
    </w:p>
    <w:p w14:paraId="2FAD3023" w14:textId="6AEE1409"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Although the Dobzahnsky-Müller model typically considers mutations as the causal agent behind genetic incompatibilities, synteny-breaking genome rearrangements could have similar effects on hybrid viability. In this regard, changes in both macro-synteny (i.e., the shared gene content on a chromosome, Figure 1A) after chromosomal translocations, for instance, and micro-synteny (i.e., the preserved order of several genes in a chromosome, Figure 1B) can lead to chromosome pairing problems during mitosis in hybrid zygotes, resulting in hybrid inviability and, eventually, in speciation. Several studies have observed that macro-synteny is well-conserved across animal phyla </w:t>
      </w:r>
      <w:r>
        <w:fldChar w:fldCharType="begin"/>
      </w:r>
      <w:r>
        <w:instrText>HYPERLINK "https://paperpile.com/c/pirA7c/aKmD+bxAW+4QQi+x8zP" \h</w:instrText>
      </w:r>
      <w:r>
        <w:fldChar w:fldCharType="separate"/>
      </w:r>
      <w:r>
        <w:rPr>
          <w:rFonts w:ascii="Times New Roman" w:eastAsia="Times New Roman" w:hAnsi="Times New Roman" w:cs="Times New Roman"/>
          <w:color w:val="000000"/>
        </w:rPr>
        <w:t>(Srivastava et al. 2008; Lv et al. 2011; Kenny et al. 2020; Simakov et al. 2022)</w:t>
      </w:r>
      <w:r>
        <w:fldChar w:fldCharType="end"/>
      </w:r>
      <w:r>
        <w:rPr>
          <w:rFonts w:ascii="Times New Roman" w:eastAsia="Times New Roman" w:hAnsi="Times New Roman" w:cs="Times New Roman"/>
        </w:rPr>
        <w:t xml:space="preserve"> suggesting that chromosome gene content is constrained and that translocations are either infrequent or selected against across long time scales. One proposed mechanism underlying this constraint is that gene dosage of multiple genes on a chromosome must be maintained </w:t>
      </w:r>
      <w:r>
        <w:fldChar w:fldCharType="begin"/>
      </w:r>
      <w:r>
        <w:instrText>HYPERLINK "https://paperpile.com/c/pirA7c/bxAW" \h</w:instrText>
      </w:r>
      <w:r>
        <w:fldChar w:fldCharType="separate"/>
      </w:r>
      <w:r>
        <w:rPr>
          <w:rFonts w:ascii="Times New Roman" w:eastAsia="Times New Roman" w:hAnsi="Times New Roman" w:cs="Times New Roman"/>
          <w:color w:val="000000"/>
        </w:rPr>
        <w:t>(Lv et al. 2011)</w:t>
      </w:r>
      <w:r>
        <w:fldChar w:fldCharType="end"/>
      </w:r>
      <w:r>
        <w:rPr>
          <w:rFonts w:ascii="Times New Roman" w:eastAsia="Times New Roman" w:hAnsi="Times New Roman" w:cs="Times New Roman"/>
        </w:rPr>
        <w:t xml:space="preserve">. Since chromosome translocations may result in a zygote/cell with either 1x or 3x copies of a gene, it is likely that the loss of viability resulting from these chromosome rearrangements is selected negatively, as proposed by Ohno </w:t>
      </w:r>
      <w:r>
        <w:fldChar w:fldCharType="begin"/>
      </w:r>
      <w:r>
        <w:instrText>HYPERLINK "https://paperpile.com/c/pirA7c/4uE4/?noauthor=1" \h</w:instrText>
      </w:r>
      <w:r>
        <w:fldChar w:fldCharType="separate"/>
      </w:r>
      <w:r>
        <w:rPr>
          <w:rFonts w:ascii="Times New Roman" w:eastAsia="Times New Roman" w:hAnsi="Times New Roman" w:cs="Times New Roman"/>
          <w:color w:val="000000"/>
        </w:rPr>
        <w:t>(1970)</w:t>
      </w:r>
      <w:r>
        <w:fldChar w:fldCharType="end"/>
      </w:r>
      <w:r>
        <w:rPr>
          <w:rFonts w:ascii="Times New Roman" w:eastAsia="Times New Roman" w:hAnsi="Times New Roman" w:cs="Times New Roman"/>
        </w:rPr>
        <w:t xml:space="preserve">. Thus, </w:t>
      </w:r>
      <w:del w:id="15" w:author="Author" w:date="2024-12-27T12:21:00Z" w16du:dateUtc="2024-12-27T11:21:00Z">
        <w:r>
          <w:rPr>
            <w:rFonts w:ascii="Times New Roman" w:eastAsia="Times New Roman" w:hAnsi="Times New Roman" w:cs="Times New Roman"/>
          </w:rPr>
          <w:delText>macro-synteny breaks likely</w:delText>
        </w:r>
      </w:del>
      <w:ins w:id="16" w:author="Author" w:date="2024-12-27T12:21:00Z" w16du:dateUtc="2024-12-27T11:21:00Z">
        <w:r>
          <w:rPr>
            <w:rFonts w:ascii="Times New Roman" w:eastAsia="Times New Roman" w:hAnsi="Times New Roman" w:cs="Times New Roman"/>
          </w:rPr>
          <w:t>translocations may only</w:t>
        </w:r>
      </w:ins>
      <w:r>
        <w:rPr>
          <w:rFonts w:ascii="Times New Roman" w:eastAsia="Times New Roman" w:hAnsi="Times New Roman" w:cs="Times New Roman"/>
        </w:rPr>
        <w:t xml:space="preserve"> play a minor role in speciation as their effects are too deleterious to spread in a population</w:t>
      </w:r>
      <w:ins w:id="17" w:author="Author" w:date="2024-12-27T12:21:00Z" w16du:dateUtc="2024-12-27T11:21:00Z">
        <w:r>
          <w:rPr>
            <w:rFonts w:ascii="Times New Roman" w:eastAsia="Times New Roman" w:hAnsi="Times New Roman" w:cs="Times New Roman"/>
          </w:rPr>
          <w:t xml:space="preserve"> while other macro-synteny changes, such as Robertsonian fusions, may still have effects on speciation</w:t>
        </w:r>
      </w:ins>
      <w:r>
        <w:rPr>
          <w:rFonts w:ascii="Times New Roman" w:eastAsia="Times New Roman" w:hAnsi="Times New Roman" w:cs="Times New Roman"/>
        </w:rPr>
        <w:t>.</w:t>
      </w:r>
    </w:p>
    <w:p w14:paraId="221C6CFB" w14:textId="77777777" w:rsidR="00EF30E6" w:rsidRDefault="00EF30E6">
      <w:pPr>
        <w:spacing w:line="360" w:lineRule="auto"/>
        <w:rPr>
          <w:rFonts w:ascii="Times New Roman" w:eastAsia="Times New Roman" w:hAnsi="Times New Roman" w:cs="Times New Roman"/>
        </w:rPr>
      </w:pPr>
    </w:p>
    <w:p w14:paraId="378DB0DA"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In contrast, changes in micro-synteny resulting from chromosome fusions and inversions appear to be more widespread, possibly because they do not result in gene dosage imbalances. This is expected to some extent because eukaryotic genes typically have their own promoters so that genes “moving” together with their linked regulatory regions should preserve their expression patterns. Supporting this idea, the expression of nested genes appears to be uncorrelated, and gene proximity and dosage typically are also uncorrelated </w:t>
      </w:r>
      <w:r>
        <w:fldChar w:fldCharType="begin"/>
      </w:r>
      <w:r>
        <w:instrText>HYPERLINK "https://paperpile.com/c/pirA7c/G74o" \h</w:instrText>
      </w:r>
      <w:r>
        <w:fldChar w:fldCharType="separate"/>
      </w:r>
      <w:r>
        <w:rPr>
          <w:rFonts w:ascii="Times New Roman" w:eastAsia="Times New Roman" w:hAnsi="Times New Roman" w:cs="Times New Roman"/>
          <w:color w:val="000000"/>
        </w:rPr>
        <w:t>(Assis et al. 2008)</w:t>
      </w:r>
      <w:r>
        <w:fldChar w:fldCharType="end"/>
      </w:r>
      <w:r>
        <w:rPr>
          <w:rFonts w:ascii="Times New Roman" w:eastAsia="Times New Roman" w:hAnsi="Times New Roman" w:cs="Times New Roman"/>
        </w:rPr>
        <w:t xml:space="preserve">. There are some exceptions: genes controlled by bidirectional promotors or highly-conserved non-coding elements (HCNEs) controlling a group of neighbouring genes </w:t>
      </w:r>
      <w:r>
        <w:fldChar w:fldCharType="begin"/>
      </w:r>
      <w:r>
        <w:instrText>HYPERLINK "https://paperpile.com/c/pirA7c/IGtj+xwp3" \h</w:instrText>
      </w:r>
      <w:r>
        <w:fldChar w:fldCharType="separate"/>
      </w:r>
      <w:r>
        <w:rPr>
          <w:rFonts w:ascii="Times New Roman" w:eastAsia="Times New Roman" w:hAnsi="Times New Roman" w:cs="Times New Roman"/>
          <w:color w:val="000000"/>
        </w:rPr>
        <w:t>(Engström et al. 2007; Kikuta et al. 2007)</w:t>
      </w:r>
      <w:r>
        <w:fldChar w:fldCharType="end"/>
      </w:r>
      <w:r>
        <w:rPr>
          <w:rFonts w:ascii="Times New Roman" w:eastAsia="Times New Roman" w:hAnsi="Times New Roman" w:cs="Times New Roman"/>
        </w:rPr>
        <w:t xml:space="preserve">; or genes with regulatory elements inside the introns of neighbouring genes (e.g., the human lactase, which enhancer is located inside its upstream gene </w:t>
      </w:r>
      <w:r>
        <w:rPr>
          <w:rFonts w:ascii="Times New Roman" w:eastAsia="Times New Roman" w:hAnsi="Times New Roman" w:cs="Times New Roman"/>
          <w:i/>
        </w:rPr>
        <w:t>mcmc6</w:t>
      </w:r>
      <w:r>
        <w:rPr>
          <w:rFonts w:ascii="Times New Roman" w:eastAsia="Times New Roman" w:hAnsi="Times New Roman" w:cs="Times New Roman"/>
        </w:rPr>
        <w:t xml:space="preserve"> </w:t>
      </w:r>
      <w:r>
        <w:fldChar w:fldCharType="begin"/>
      </w:r>
      <w:r>
        <w:instrText>HYPERLINK "https://paperpile.com/c/pirA7c/ZjSx" \h</w:instrText>
      </w:r>
      <w:r>
        <w:fldChar w:fldCharType="separate"/>
      </w:r>
      <w:r>
        <w:rPr>
          <w:rFonts w:ascii="Times New Roman" w:eastAsia="Times New Roman" w:hAnsi="Times New Roman" w:cs="Times New Roman"/>
          <w:color w:val="000000"/>
        </w:rPr>
        <w:t>(Enattah et al. 2002)</w:t>
      </w:r>
      <w:r>
        <w:fldChar w:fldCharType="end"/>
      </w:r>
      <w:r>
        <w:rPr>
          <w:rFonts w:ascii="Times New Roman" w:eastAsia="Times New Roman" w:hAnsi="Times New Roman" w:cs="Times New Roman"/>
        </w:rPr>
        <w:t xml:space="preserve">). Thus, it is likely that micro-synteny changes are either neutral or only slightly deleterious for most eukaryotic genes allowing these changes to spread in populations after their appearance and eventually become fixed </w:t>
      </w:r>
      <w:r>
        <w:fldChar w:fldCharType="begin"/>
      </w:r>
      <w:r>
        <w:instrText>HYPERLINK "https://paperpile.com/c/pirA7c/J6w8+4uE4" \h</w:instrText>
      </w:r>
      <w:r>
        <w:fldChar w:fldCharType="separate"/>
      </w:r>
      <w:r>
        <w:rPr>
          <w:rFonts w:ascii="Times New Roman" w:eastAsia="Times New Roman" w:hAnsi="Times New Roman" w:cs="Times New Roman"/>
          <w:color w:val="000000"/>
        </w:rPr>
        <w:t>(Ohno 1970; Slijepcevic 1998)</w:t>
      </w:r>
      <w:r>
        <w:fldChar w:fldCharType="end"/>
      </w:r>
      <w:r>
        <w:rPr>
          <w:rFonts w:ascii="Times New Roman" w:eastAsia="Times New Roman" w:hAnsi="Times New Roman" w:cs="Times New Roman"/>
        </w:rPr>
        <w:t>.</w:t>
      </w:r>
    </w:p>
    <w:p w14:paraId="51C6629A" w14:textId="77777777" w:rsidR="00EF30E6" w:rsidRDefault="00EF30E6">
      <w:pPr>
        <w:spacing w:line="360" w:lineRule="auto"/>
        <w:rPr>
          <w:ins w:id="18" w:author="Author" w:date="2024-12-27T12:21:00Z" w16du:dateUtc="2024-12-27T11:21:00Z"/>
          <w:rFonts w:ascii="Times New Roman" w:eastAsia="Times New Roman" w:hAnsi="Times New Roman" w:cs="Times New Roman"/>
        </w:rPr>
      </w:pPr>
    </w:p>
    <w:p w14:paraId="42C18BC1" w14:textId="31211779"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Despite the potential role of micro-synteny in speciation, the degree of micro-synteny is variable within the animal lineages examined to date. For instance, extensive syntenic blocks, of tens to hundreds of genes, have been found in octocorals </w:t>
      </w:r>
      <w:r>
        <w:fldChar w:fldCharType="begin"/>
      </w:r>
      <w:r>
        <w:instrText>HYPERLINK "https://paperpile.com/c/pirA7c/d48J" \h</w:instrText>
      </w:r>
      <w:r>
        <w:fldChar w:fldCharType="separate"/>
      </w:r>
      <w:r>
        <w:rPr>
          <w:rFonts w:ascii="Times New Roman" w:eastAsia="Times New Roman" w:hAnsi="Times New Roman" w:cs="Times New Roman"/>
          <w:color w:val="000000"/>
        </w:rPr>
        <w:t>(Jiang et al. 2019)</w:t>
      </w:r>
      <w:r>
        <w:fldChar w:fldCharType="end"/>
      </w:r>
      <w:r>
        <w:rPr>
          <w:rFonts w:ascii="Times New Roman" w:eastAsia="Times New Roman" w:hAnsi="Times New Roman" w:cs="Times New Roman"/>
        </w:rPr>
        <w:t xml:space="preserve"> but not medusozoans </w:t>
      </w:r>
      <w:r>
        <w:fldChar w:fldCharType="begin"/>
      </w:r>
      <w:r>
        <w:instrText>HYPERLINK "https://paperpile.com/c/pirA7c/d48J+GrRb" \h</w:instrText>
      </w:r>
      <w:r>
        <w:fldChar w:fldCharType="separate"/>
      </w:r>
      <w:r>
        <w:rPr>
          <w:rFonts w:ascii="Times New Roman" w:eastAsia="Times New Roman" w:hAnsi="Times New Roman" w:cs="Times New Roman"/>
          <w:color w:val="000000"/>
        </w:rPr>
        <w:t>(</w:t>
      </w:r>
      <w:del w:id="19" w:author="Author" w:date="2024-12-27T12:21:00Z" w16du:dateUtc="2024-12-27T11:21:00Z">
        <w:r>
          <w:rPr>
            <w:rFonts w:ascii="Times New Roman" w:eastAsia="Times New Roman" w:hAnsi="Times New Roman" w:cs="Times New Roman"/>
            <w:color w:val="000000"/>
          </w:rPr>
          <w:delText xml:space="preserve">Jiang et al. 2019; </w:delText>
        </w:r>
      </w:del>
      <w:r>
        <w:rPr>
          <w:rFonts w:ascii="Times New Roman" w:eastAsia="Times New Roman" w:hAnsi="Times New Roman" w:cs="Times New Roman"/>
          <w:color w:val="000000"/>
        </w:rPr>
        <w:t>Khalturin et al. 2019)</w:t>
      </w:r>
      <w:r>
        <w:fldChar w:fldCharType="end"/>
      </w:r>
      <w:r>
        <w:rPr>
          <w:rFonts w:ascii="Times New Roman" w:eastAsia="Times New Roman" w:hAnsi="Times New Roman" w:cs="Times New Roman"/>
        </w:rPr>
        <w:t xml:space="preserve">, or in glass sponges </w:t>
      </w:r>
      <w:r>
        <w:fldChar w:fldCharType="begin"/>
      </w:r>
      <w:r>
        <w:instrText>HYPERLINK "https://paperpile.com/c/pirA7c/82mt" \h</w:instrText>
      </w:r>
      <w:r>
        <w:fldChar w:fldCharType="separate"/>
      </w:r>
      <w:r>
        <w:rPr>
          <w:rFonts w:ascii="Times New Roman" w:eastAsia="Times New Roman" w:hAnsi="Times New Roman" w:cs="Times New Roman"/>
          <w:color w:val="000000"/>
        </w:rPr>
        <w:t>(Francis et al. 2023)</w:t>
      </w:r>
      <w:r>
        <w:fldChar w:fldCharType="end"/>
      </w:r>
      <w:r>
        <w:rPr>
          <w:rFonts w:ascii="Times New Roman" w:eastAsia="Times New Roman" w:hAnsi="Times New Roman" w:cs="Times New Roman"/>
        </w:rPr>
        <w:t xml:space="preserve"> but not demosponges </w:t>
      </w:r>
      <w:r>
        <w:fldChar w:fldCharType="begin"/>
      </w:r>
      <w:r>
        <w:instrText>HYPERLINK "https://paperpile.com/c/pirA7c/4QQi" \h</w:instrText>
      </w:r>
      <w:r>
        <w:fldChar w:fldCharType="separate"/>
      </w:r>
      <w:r>
        <w:rPr>
          <w:rFonts w:ascii="Times New Roman" w:eastAsia="Times New Roman" w:hAnsi="Times New Roman" w:cs="Times New Roman"/>
          <w:color w:val="000000"/>
        </w:rPr>
        <w:t>(Kenny et al. 2020)</w:t>
      </w:r>
      <w:r>
        <w:fldChar w:fldCharType="end"/>
      </w:r>
      <w:r>
        <w:rPr>
          <w:rFonts w:ascii="Times New Roman" w:eastAsia="Times New Roman" w:hAnsi="Times New Roman" w:cs="Times New Roman"/>
        </w:rPr>
        <w:t xml:space="preserve">. Even in two smaller phyla, Placozoa and Ctenophora, microsynteny was extensive in placozoans </w:t>
      </w:r>
      <w:r>
        <w:fldChar w:fldCharType="begin"/>
      </w:r>
      <w:r>
        <w:instrText>HYPERLINK "https://paperpile.com/c/pirA7c/D2Lq" \h</w:instrText>
      </w:r>
      <w:r>
        <w:fldChar w:fldCharType="separate"/>
      </w:r>
      <w:r>
        <w:rPr>
          <w:rFonts w:ascii="Times New Roman" w:eastAsia="Times New Roman" w:hAnsi="Times New Roman" w:cs="Times New Roman"/>
          <w:color w:val="000000"/>
        </w:rPr>
        <w:t>(Eitel et al. 2018)</w:t>
      </w:r>
      <w:r>
        <w:fldChar w:fldCharType="end"/>
      </w:r>
      <w:r>
        <w:rPr>
          <w:rFonts w:ascii="Times New Roman" w:eastAsia="Times New Roman" w:hAnsi="Times New Roman" w:cs="Times New Roman"/>
        </w:rPr>
        <w:t xml:space="preserve">, but was almost completely absent in ctenophores </w:t>
      </w:r>
      <w:r>
        <w:fldChar w:fldCharType="begin"/>
      </w:r>
      <w:r>
        <w:instrText>HYPERLINK "https://paperpile.com/c/pirA7c/PCQK" \h</w:instrText>
      </w:r>
      <w:r>
        <w:fldChar w:fldCharType="separate"/>
      </w:r>
      <w:r>
        <w:rPr>
          <w:rFonts w:ascii="Times New Roman" w:eastAsia="Times New Roman" w:hAnsi="Times New Roman" w:cs="Times New Roman"/>
          <w:color w:val="000000"/>
        </w:rPr>
        <w:t>(Schultz et al. 2021)</w:t>
      </w:r>
      <w:r>
        <w:fldChar w:fldCharType="end"/>
      </w:r>
      <w:r>
        <w:rPr>
          <w:rFonts w:ascii="Times New Roman" w:eastAsia="Times New Roman" w:hAnsi="Times New Roman" w:cs="Times New Roman"/>
        </w:rPr>
        <w:t xml:space="preserve">. The effects of conserved synteny have only been examined in model organisms and their close relatives, making it difficult to generalise the role of micro-synteny breaking in speciation across the animal kingdom. To evaluate this, we examined macro- and micro-synteny in 22 con-generic pairs with chromosome-level genome assemblies representing </w:t>
      </w:r>
      <w:del w:id="20" w:author="Author" w:date="2024-12-27T12:21:00Z" w16du:dateUtc="2024-12-27T11:21:00Z">
        <w:r>
          <w:rPr>
            <w:rFonts w:ascii="Times New Roman" w:eastAsia="Times New Roman" w:hAnsi="Times New Roman" w:cs="Times New Roman"/>
          </w:rPr>
          <w:delText>six</w:delText>
        </w:r>
      </w:del>
      <w:ins w:id="21" w:author="Author" w:date="2024-12-27T12:21:00Z" w16du:dateUtc="2024-12-27T11:21:00Z">
        <w:r>
          <w:rPr>
            <w:rFonts w:ascii="Times New Roman" w:eastAsia="Times New Roman" w:hAnsi="Times New Roman" w:cs="Times New Roman"/>
          </w:rPr>
          <w:t>five</w:t>
        </w:r>
      </w:ins>
      <w:r>
        <w:rPr>
          <w:rFonts w:ascii="Times New Roman" w:eastAsia="Times New Roman" w:hAnsi="Times New Roman" w:cs="Times New Roman"/>
        </w:rPr>
        <w:t xml:space="preserve"> animal phyla. We find varied trajectories of synteny conservation, suggesting that no universal path of genomic change during speciation exists in animals.</w:t>
      </w:r>
    </w:p>
    <w:p w14:paraId="161B54D7" w14:textId="77777777" w:rsidR="00EF30E6" w:rsidRDefault="00000000">
      <w:pPr>
        <w:pStyle w:val="Heading2"/>
        <w:spacing w:line="360" w:lineRule="auto"/>
      </w:pPr>
      <w:bookmarkStart w:id="22" w:name="_whm3wc3j3jmi" w:colFirst="0" w:colLast="0"/>
      <w:bookmarkEnd w:id="22"/>
      <w:r>
        <w:t>Material &amp; Methods</w:t>
      </w:r>
    </w:p>
    <w:p w14:paraId="31927AE6" w14:textId="77777777" w:rsidR="00EF30E6" w:rsidRDefault="00000000">
      <w:pPr>
        <w:pStyle w:val="Heading3"/>
        <w:spacing w:line="360" w:lineRule="auto"/>
      </w:pPr>
      <w:bookmarkStart w:id="23" w:name="_2ljeb7971x0z" w:colFirst="0" w:colLast="0"/>
      <w:bookmarkEnd w:id="23"/>
      <w:r>
        <w:t>Datasets from NCBI</w:t>
      </w:r>
    </w:p>
    <w:p w14:paraId="5B818545" w14:textId="5D8E51A0"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 total of 17 animal genera accounting for 22 pairs of congeneric species were downloaded from NCBI (see Table 1, and Supplemental Figure 1). The bulk of the 55 available congeneric genome pairs on NCBI mostly consisted of arthropods (e.g., 18 </w:t>
      </w:r>
      <w:r>
        <w:rPr>
          <w:rFonts w:ascii="Times New Roman" w:eastAsia="Times New Roman" w:hAnsi="Times New Roman" w:cs="Times New Roman"/>
          <w:i/>
        </w:rPr>
        <w:t>Drosophila</w:t>
      </w:r>
      <w:r>
        <w:rPr>
          <w:rFonts w:ascii="Times New Roman" w:eastAsia="Times New Roman" w:hAnsi="Times New Roman" w:cs="Times New Roman"/>
        </w:rPr>
        <w:t xml:space="preserve"> species) and chordates (mostly mammals, e.g., cow, pig, mouse). We limited this selection to include only chromosome-level genome assemblies for which NCBI annotations for that specific version are also available, and also excluded redundant pairs within genera from the analyses e.g. we only kept 4 </w:t>
      </w:r>
      <w:r>
        <w:rPr>
          <w:rFonts w:ascii="Times New Roman" w:eastAsia="Times New Roman" w:hAnsi="Times New Roman" w:cs="Times New Roman"/>
          <w:i/>
        </w:rPr>
        <w:t>Drosophila</w:t>
      </w:r>
      <w:r>
        <w:rPr>
          <w:rFonts w:ascii="Times New Roman" w:eastAsia="Times New Roman" w:hAnsi="Times New Roman" w:cs="Times New Roman"/>
        </w:rPr>
        <w:t xml:space="preserve"> species (see </w:t>
      </w:r>
      <w:r>
        <w:rPr>
          <w:rFonts w:ascii="Times New Roman" w:eastAsia="Times New Roman" w:hAnsi="Times New Roman" w:cs="Times New Roman"/>
        </w:rPr>
        <w:lastRenderedPageBreak/>
        <w:t xml:space="preserve">Table 1). For additional comparisons to remake the analyses of previous studies, we </w:t>
      </w:r>
      <w:ins w:id="24" w:author="Author" w:date="2024-12-27T12:21:00Z" w16du:dateUtc="2024-12-27T11:21:00Z">
        <w:r>
          <w:rPr>
            <w:rFonts w:ascii="Times New Roman" w:eastAsia="Times New Roman" w:hAnsi="Times New Roman" w:cs="Times New Roman"/>
          </w:rPr>
          <w:t xml:space="preserve">analyzed the insects against each other, using </w:t>
        </w:r>
        <w:r>
          <w:rPr>
            <w:rFonts w:ascii="Times New Roman" w:eastAsia="Times New Roman" w:hAnsi="Times New Roman" w:cs="Times New Roman"/>
            <w:i/>
          </w:rPr>
          <w:t>Drosophila melanogaster</w:t>
        </w:r>
        <w:r>
          <w:rPr>
            <w:rFonts w:ascii="Times New Roman" w:eastAsia="Times New Roman" w:hAnsi="Times New Roman" w:cs="Times New Roman"/>
          </w:rPr>
          <w:t xml:space="preserve"> as one species, and then one of </w:t>
        </w:r>
        <w:r>
          <w:rPr>
            <w:rFonts w:ascii="Times New Roman" w:eastAsia="Times New Roman" w:hAnsi="Times New Roman" w:cs="Times New Roman"/>
            <w:i/>
          </w:rPr>
          <w:t>Anastrepha</w:t>
        </w:r>
        <w:r>
          <w:rPr>
            <w:rFonts w:ascii="Times New Roman" w:eastAsia="Times New Roman" w:hAnsi="Times New Roman" w:cs="Times New Roman"/>
          </w:rPr>
          <w:t xml:space="preserve">, </w:t>
        </w:r>
        <w:r>
          <w:rPr>
            <w:rFonts w:ascii="Times New Roman" w:eastAsia="Times New Roman" w:hAnsi="Times New Roman" w:cs="Times New Roman"/>
            <w:i/>
          </w:rPr>
          <w:t>Culex</w:t>
        </w:r>
        <w:r>
          <w:rPr>
            <w:rFonts w:ascii="Times New Roman" w:eastAsia="Times New Roman" w:hAnsi="Times New Roman" w:cs="Times New Roman"/>
          </w:rPr>
          <w:t xml:space="preserve">, </w:t>
        </w:r>
        <w:r>
          <w:rPr>
            <w:rFonts w:ascii="Times New Roman" w:eastAsia="Times New Roman" w:hAnsi="Times New Roman" w:cs="Times New Roman"/>
            <w:i/>
          </w:rPr>
          <w:t>Bombus</w:t>
        </w:r>
        <w:r>
          <w:rPr>
            <w:rFonts w:ascii="Times New Roman" w:eastAsia="Times New Roman" w:hAnsi="Times New Roman" w:cs="Times New Roman"/>
          </w:rPr>
          <w:t xml:space="preserve">, and </w:t>
        </w:r>
        <w:r>
          <w:rPr>
            <w:rFonts w:ascii="Times New Roman" w:eastAsia="Times New Roman" w:hAnsi="Times New Roman" w:cs="Times New Roman"/>
            <w:i/>
          </w:rPr>
          <w:t>Vespa</w:t>
        </w:r>
        <w:r>
          <w:rPr>
            <w:rFonts w:ascii="Times New Roman" w:eastAsia="Times New Roman" w:hAnsi="Times New Roman" w:cs="Times New Roman"/>
          </w:rPr>
          <w:t xml:space="preserve"> for each pair (matching what was done in </w:t>
        </w:r>
        <w:r>
          <w:fldChar w:fldCharType="begin"/>
        </w:r>
        <w:r>
          <w:instrText>HYPERLINK "https://paperpile.com/c/pirA7c/YxaS" \h</w:instrText>
        </w:r>
        <w:r>
          <w:fldChar w:fldCharType="separate"/>
        </w:r>
        <w:r>
          <w:rPr>
            <w:rFonts w:ascii="Times New Roman" w:eastAsia="Times New Roman" w:hAnsi="Times New Roman" w:cs="Times New Roman"/>
          </w:rPr>
          <w:t>Zdobnov and Bork 2007)</w:t>
        </w:r>
        <w:r>
          <w:fldChar w:fldCharType="end"/>
        </w:r>
        <w:r>
          <w:rPr>
            <w:rFonts w:ascii="Times New Roman" w:eastAsia="Times New Roman" w:hAnsi="Times New Roman" w:cs="Times New Roman"/>
          </w:rPr>
          <w:t xml:space="preserve">. We </w:t>
        </w:r>
      </w:ins>
      <w:r>
        <w:rPr>
          <w:rFonts w:ascii="Times New Roman" w:eastAsia="Times New Roman" w:hAnsi="Times New Roman" w:cs="Times New Roman"/>
        </w:rPr>
        <w:t>also included a set of seven genomes of additional mammal genera, namely human, mouse, chimpanzee, gorilla, orangutan, gibbon, and opossum.</w:t>
      </w:r>
      <w:del w:id="25" w:author="Author" w:date="2024-12-27T12:21:00Z" w16du:dateUtc="2024-12-27T11:21:00Z">
        <w:r>
          <w:rPr>
            <w:rFonts w:ascii="Times New Roman" w:eastAsia="Times New Roman" w:hAnsi="Times New Roman" w:cs="Times New Roman"/>
          </w:rPr>
          <w:delText xml:space="preserve"> </w:delText>
        </w:r>
      </w:del>
    </w:p>
    <w:p w14:paraId="37DE4AB5" w14:textId="77777777" w:rsidR="00B44343" w:rsidRDefault="00B44343">
      <w:pPr>
        <w:spacing w:line="360" w:lineRule="auto"/>
        <w:rPr>
          <w:del w:id="26" w:author="Author" w:date="2024-12-27T12:21:00Z" w16du:dateUtc="2024-12-27T11:21:00Z"/>
          <w:rFonts w:ascii="Times New Roman" w:eastAsia="Times New Roman" w:hAnsi="Times New Roman" w:cs="Times New Roman"/>
        </w:rPr>
      </w:pPr>
      <w:bookmarkStart w:id="27" w:name="_p3i92b2e1dq3" w:colFirst="0" w:colLast="0"/>
      <w:bookmarkEnd w:id="27"/>
    </w:p>
    <w:p w14:paraId="12E29F5B" w14:textId="77777777" w:rsidR="00EF30E6" w:rsidRDefault="00000000">
      <w:pPr>
        <w:pStyle w:val="Heading3"/>
        <w:spacing w:line="360" w:lineRule="auto"/>
      </w:pPr>
      <w:r>
        <w:t>Addition of representatives from a coral genus</w:t>
      </w:r>
    </w:p>
    <w:p w14:paraId="1B082021"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the coral genus </w:t>
      </w:r>
      <w:r>
        <w:rPr>
          <w:rFonts w:ascii="Times New Roman" w:eastAsia="Times New Roman" w:hAnsi="Times New Roman" w:cs="Times New Roman"/>
          <w:i/>
        </w:rPr>
        <w:t>Acropora</w:t>
      </w:r>
      <w:r>
        <w:rPr>
          <w:rFonts w:ascii="Times New Roman" w:eastAsia="Times New Roman" w:hAnsi="Times New Roman" w:cs="Times New Roman"/>
        </w:rPr>
        <w:t xml:space="preserve">, both </w:t>
      </w:r>
      <w:r>
        <w:rPr>
          <w:rFonts w:ascii="Times New Roman" w:eastAsia="Times New Roman" w:hAnsi="Times New Roman" w:cs="Times New Roman"/>
          <w:i/>
        </w:rPr>
        <w:t>A. hyacinthus</w:t>
      </w:r>
      <w:r>
        <w:rPr>
          <w:rFonts w:ascii="Times New Roman" w:eastAsia="Times New Roman" w:hAnsi="Times New Roman" w:cs="Times New Roman"/>
        </w:rPr>
        <w:t xml:space="preserve"> and </w:t>
      </w:r>
      <w:r>
        <w:rPr>
          <w:rFonts w:ascii="Times New Roman" w:eastAsia="Times New Roman" w:hAnsi="Times New Roman" w:cs="Times New Roman"/>
          <w:i/>
        </w:rPr>
        <w:t>A. millepora</w:t>
      </w:r>
      <w:r>
        <w:rPr>
          <w:rFonts w:ascii="Times New Roman" w:eastAsia="Times New Roman" w:hAnsi="Times New Roman" w:cs="Times New Roman"/>
        </w:rPr>
        <w:t xml:space="preserve"> had chromosome-level assemblies, but only </w:t>
      </w:r>
      <w:r>
        <w:rPr>
          <w:rFonts w:ascii="Times New Roman" w:eastAsia="Times New Roman" w:hAnsi="Times New Roman" w:cs="Times New Roman"/>
          <w:i/>
        </w:rPr>
        <w:t>A. millepora</w:t>
      </w:r>
      <w:r>
        <w:rPr>
          <w:rFonts w:ascii="Times New Roman" w:eastAsia="Times New Roman" w:hAnsi="Times New Roman" w:cs="Times New Roman"/>
        </w:rPr>
        <w:t xml:space="preserve"> had an annotation file on NCBI. Thus, we used the annotation file from the previous version of </w:t>
      </w:r>
      <w:r>
        <w:rPr>
          <w:rFonts w:ascii="Times New Roman" w:eastAsia="Times New Roman" w:hAnsi="Times New Roman" w:cs="Times New Roman"/>
          <w:i/>
        </w:rPr>
        <w:t>A. hyacinthus</w:t>
      </w:r>
      <w:r>
        <w:rPr>
          <w:rFonts w:ascii="Times New Roman" w:eastAsia="Times New Roman" w:hAnsi="Times New Roman" w:cs="Times New Roman"/>
        </w:rPr>
        <w:t>, downloaded from the Marine Genomics Group at OIST (</w:t>
      </w:r>
      <w:r>
        <w:fldChar w:fldCharType="begin"/>
      </w:r>
      <w:r>
        <w:instrText>HYPERLINK "https://marinegenomics.oist.jp/ahya/viewer/download?project_id=91" \h</w:instrText>
      </w:r>
      <w:r>
        <w:fldChar w:fldCharType="separate"/>
      </w:r>
      <w:r>
        <w:rPr>
          <w:rFonts w:ascii="Times New Roman" w:eastAsia="Times New Roman" w:hAnsi="Times New Roman" w:cs="Times New Roman"/>
          <w:color w:val="1155CC"/>
          <w:u w:val="single"/>
        </w:rPr>
        <w:t>https://marinegenomics.oist.jp/ahya/viewer/download?project_id=91</w:t>
      </w:r>
      <w:r>
        <w:fldChar w:fldCharType="end"/>
      </w:r>
      <w:r>
        <w:rPr>
          <w:rFonts w:ascii="Times New Roman" w:eastAsia="Times New Roman" w:hAnsi="Times New Roman" w:cs="Times New Roman"/>
        </w:rPr>
        <w:t xml:space="preserve">). From the v1 annotation </w:t>
      </w:r>
      <w:r>
        <w:fldChar w:fldCharType="begin"/>
      </w:r>
      <w:r>
        <w:instrText>HYPERLINK "https://paperpile.com/c/pirA7c/NjFG" \h</w:instrText>
      </w:r>
      <w:r>
        <w:fldChar w:fldCharType="separate"/>
      </w:r>
      <w:r>
        <w:rPr>
          <w:rFonts w:ascii="Times New Roman" w:eastAsia="Times New Roman" w:hAnsi="Times New Roman" w:cs="Times New Roman"/>
          <w:color w:val="000000"/>
        </w:rPr>
        <w:t>(Shinzato et al. 2021)</w:t>
      </w:r>
      <w:r>
        <w:fldChar w:fldCharType="end"/>
      </w:r>
      <w:r>
        <w:rPr>
          <w:rFonts w:ascii="Times New Roman" w:eastAsia="Times New Roman" w:hAnsi="Times New Roman" w:cs="Times New Roman"/>
        </w:rPr>
        <w:t xml:space="preserve">, we generated transcripts using gffread v0.12.7 </w:t>
      </w:r>
      <w:r>
        <w:fldChar w:fldCharType="begin"/>
      </w:r>
      <w:r>
        <w:instrText>HYPERLINK "https://paperpile.com/c/pirA7c/LOsc" \h</w:instrText>
      </w:r>
      <w:r>
        <w:fldChar w:fldCharType="separate"/>
      </w:r>
      <w:r>
        <w:rPr>
          <w:rFonts w:ascii="Times New Roman" w:eastAsia="Times New Roman" w:hAnsi="Times New Roman" w:cs="Times New Roman"/>
          <w:color w:val="000000"/>
        </w:rPr>
        <w:t>(Pertea and Pertea 2020)</w:t>
      </w:r>
      <w:r>
        <w:fldChar w:fldCharType="end"/>
      </w:r>
      <w:r>
        <w:rPr>
          <w:rFonts w:ascii="Times New Roman" w:eastAsia="Times New Roman" w:hAnsi="Times New Roman" w:cs="Times New Roman"/>
        </w:rPr>
        <w:t xml:space="preserve">, which were then filtered to remove splice variants, and mapped to the chromosome-level assembly using minimap2 v2.23 </w:t>
      </w:r>
      <w:r>
        <w:fldChar w:fldCharType="begin"/>
      </w:r>
      <w:r>
        <w:instrText>HYPERLINK "https://paperpile.com/c/pirA7c/1nkL" \h</w:instrText>
      </w:r>
      <w:r>
        <w:fldChar w:fldCharType="separate"/>
      </w:r>
      <w:r>
        <w:rPr>
          <w:rFonts w:ascii="Times New Roman" w:eastAsia="Times New Roman" w:hAnsi="Times New Roman" w:cs="Times New Roman"/>
          <w:color w:val="000000"/>
        </w:rPr>
        <w:t>(Li 2018)</w:t>
      </w:r>
      <w:r>
        <w:fldChar w:fldCharType="end"/>
      </w:r>
      <w:r>
        <w:rPr>
          <w:rFonts w:ascii="Times New Roman" w:eastAsia="Times New Roman" w:hAnsi="Times New Roman" w:cs="Times New Roman"/>
        </w:rPr>
        <w:t>.</w:t>
      </w:r>
    </w:p>
    <w:p w14:paraId="21C56310" w14:textId="77777777" w:rsidR="00EF30E6" w:rsidRDefault="00EF30E6">
      <w:pPr>
        <w:spacing w:line="360" w:lineRule="auto"/>
        <w:rPr>
          <w:rFonts w:ascii="Times New Roman" w:eastAsia="Times New Roman" w:hAnsi="Times New Roman" w:cs="Times New Roman"/>
        </w:rPr>
      </w:pPr>
    </w:p>
    <w:p w14:paraId="65E4C497" w14:textId="77777777" w:rsidR="00B44343" w:rsidRDefault="00B44343">
      <w:pPr>
        <w:pStyle w:val="Heading4"/>
        <w:rPr>
          <w:del w:id="28" w:author="Author" w:date="2024-12-27T12:21:00Z" w16du:dateUtc="2024-12-27T11:21:00Z"/>
          <w:color w:val="000000"/>
          <w:sz w:val="22"/>
          <w:szCs w:val="22"/>
        </w:rPr>
      </w:pPr>
      <w:bookmarkStart w:id="29" w:name="_rnxfodbvtdhl"/>
      <w:bookmarkEnd w:id="29"/>
    </w:p>
    <w:tbl>
      <w:tblPr>
        <w:tblStyle w:val="a"/>
        <w:tblpPr w:leftFromText="180" w:rightFromText="180" w:topFromText="180" w:bottomFromText="180" w:vertAnchor="text" w:tblpX="-7"/>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995"/>
        <w:gridCol w:w="1794"/>
        <w:gridCol w:w="1920"/>
        <w:gridCol w:w="1425"/>
        <w:gridCol w:w="1230"/>
        <w:tblGridChange w:id="30">
          <w:tblGrid>
            <w:gridCol w:w="1561"/>
            <w:gridCol w:w="995"/>
            <w:gridCol w:w="1794"/>
            <w:gridCol w:w="1920"/>
            <w:gridCol w:w="1425"/>
            <w:gridCol w:w="1230"/>
          </w:tblGrid>
        </w:tblGridChange>
      </w:tblGrid>
      <w:tr w:rsidR="00B01004" w14:paraId="1B3E69CC" w14:textId="77777777">
        <w:trPr>
          <w:tblHeader/>
        </w:trPr>
        <w:tc>
          <w:tcPr>
            <w:tcW w:w="1560" w:type="dxa"/>
          </w:tcPr>
          <w:p w14:paraId="2C7624D2"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Genus</w:t>
            </w:r>
          </w:p>
        </w:tc>
        <w:tc>
          <w:tcPr>
            <w:tcW w:w="995" w:type="dxa"/>
          </w:tcPr>
          <w:p w14:paraId="4B6F551E"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spp.</w:t>
            </w:r>
          </w:p>
        </w:tc>
        <w:tc>
          <w:tcPr>
            <w:tcW w:w="1794" w:type="dxa"/>
          </w:tcPr>
          <w:p w14:paraId="09214F05"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Representing taxonomic group</w:t>
            </w:r>
          </w:p>
        </w:tc>
        <w:tc>
          <w:tcPr>
            <w:tcW w:w="1920" w:type="dxa"/>
          </w:tcPr>
          <w:p w14:paraId="5DE1349A"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Phylum</w:t>
            </w:r>
          </w:p>
        </w:tc>
        <w:tc>
          <w:tcPr>
            <w:tcW w:w="1425" w:type="dxa"/>
          </w:tcPr>
          <w:p w14:paraId="23ABE438"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Genome size (Mb)</w:t>
            </w:r>
          </w:p>
        </w:tc>
        <w:tc>
          <w:tcPr>
            <w:tcW w:w="1230" w:type="dxa"/>
          </w:tcPr>
          <w:p w14:paraId="145EFDE1" w14:textId="77777777" w:rsidR="00EF30E6"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Chrs</w:t>
            </w:r>
          </w:p>
        </w:tc>
      </w:tr>
      <w:tr w:rsidR="00B01004" w14:paraId="2E2C98C6" w14:textId="77777777">
        <w:tc>
          <w:tcPr>
            <w:tcW w:w="1560" w:type="dxa"/>
          </w:tcPr>
          <w:p w14:paraId="446D6E68"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Acropora</w:t>
            </w:r>
          </w:p>
        </w:tc>
        <w:tc>
          <w:tcPr>
            <w:tcW w:w="995" w:type="dxa"/>
          </w:tcPr>
          <w:p w14:paraId="3531679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435F131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Staghorn corals</w:t>
            </w:r>
          </w:p>
        </w:tc>
        <w:tc>
          <w:tcPr>
            <w:tcW w:w="1920" w:type="dxa"/>
          </w:tcPr>
          <w:p w14:paraId="316B7ADF"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Cnidaria</w:t>
            </w:r>
          </w:p>
        </w:tc>
        <w:tc>
          <w:tcPr>
            <w:tcW w:w="1425" w:type="dxa"/>
          </w:tcPr>
          <w:p w14:paraId="035594F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446-475</w:t>
            </w:r>
          </w:p>
        </w:tc>
        <w:tc>
          <w:tcPr>
            <w:tcW w:w="1230" w:type="dxa"/>
          </w:tcPr>
          <w:p w14:paraId="05411E1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01004" w14:paraId="48E1753C" w14:textId="77777777">
        <w:trPr>
          <w:trHeight w:val="499"/>
        </w:trPr>
        <w:tc>
          <w:tcPr>
            <w:tcW w:w="1560" w:type="dxa"/>
          </w:tcPr>
          <w:p w14:paraId="7FEDA8C9"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Anastrepha</w:t>
            </w:r>
          </w:p>
        </w:tc>
        <w:tc>
          <w:tcPr>
            <w:tcW w:w="995" w:type="dxa"/>
          </w:tcPr>
          <w:p w14:paraId="5B712473"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1E902C2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Fruit flies</w:t>
            </w:r>
          </w:p>
        </w:tc>
        <w:tc>
          <w:tcPr>
            <w:tcW w:w="1920" w:type="dxa"/>
          </w:tcPr>
          <w:p w14:paraId="1BFB1FA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0BFAF037"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820-836</w:t>
            </w:r>
          </w:p>
        </w:tc>
        <w:tc>
          <w:tcPr>
            <w:tcW w:w="1230" w:type="dxa"/>
          </w:tcPr>
          <w:p w14:paraId="34DE2295"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01004" w14:paraId="425D67DD" w14:textId="77777777">
        <w:tc>
          <w:tcPr>
            <w:tcW w:w="1560" w:type="dxa"/>
          </w:tcPr>
          <w:p w14:paraId="0C5B671A"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Bombus</w:t>
            </w:r>
          </w:p>
        </w:tc>
        <w:tc>
          <w:tcPr>
            <w:tcW w:w="995" w:type="dxa"/>
          </w:tcPr>
          <w:p w14:paraId="298EFDEE"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6DB050C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Bumblebees</w:t>
            </w:r>
          </w:p>
        </w:tc>
        <w:tc>
          <w:tcPr>
            <w:tcW w:w="1920" w:type="dxa"/>
          </w:tcPr>
          <w:p w14:paraId="2016C5E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24B39F1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254-392</w:t>
            </w:r>
          </w:p>
        </w:tc>
        <w:tc>
          <w:tcPr>
            <w:tcW w:w="1230" w:type="dxa"/>
          </w:tcPr>
          <w:p w14:paraId="19EA08B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(24</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b/>
                <w:sz w:val="20"/>
                <w:szCs w:val="20"/>
                <w:vertAlign w:val="superscript"/>
              </w:rPr>
              <w:t>a</w:t>
            </w:r>
            <w:r>
              <w:rPr>
                <w:rFonts w:ascii="Times New Roman" w:eastAsia="Times New Roman" w:hAnsi="Times New Roman" w:cs="Times New Roman"/>
                <w:sz w:val="20"/>
                <w:szCs w:val="20"/>
              </w:rPr>
              <w:t>)</w:t>
            </w:r>
          </w:p>
        </w:tc>
      </w:tr>
      <w:tr w:rsidR="00B01004" w14:paraId="06E70D14" w14:textId="77777777">
        <w:tc>
          <w:tcPr>
            <w:tcW w:w="1560" w:type="dxa"/>
          </w:tcPr>
          <w:p w14:paraId="14666E24"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Bufo</w:t>
            </w:r>
          </w:p>
        </w:tc>
        <w:tc>
          <w:tcPr>
            <w:tcW w:w="995" w:type="dxa"/>
          </w:tcPr>
          <w:p w14:paraId="389C214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58B5CEE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Toads</w:t>
            </w:r>
          </w:p>
        </w:tc>
        <w:tc>
          <w:tcPr>
            <w:tcW w:w="1920" w:type="dxa"/>
          </w:tcPr>
          <w:p w14:paraId="51D03908"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3C28C71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4545-5044</w:t>
            </w:r>
          </w:p>
        </w:tc>
        <w:tc>
          <w:tcPr>
            <w:tcW w:w="1230" w:type="dxa"/>
          </w:tcPr>
          <w:p w14:paraId="0369A4E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B01004" w14:paraId="5FC55CE5" w14:textId="77777777">
        <w:tc>
          <w:tcPr>
            <w:tcW w:w="1560" w:type="dxa"/>
          </w:tcPr>
          <w:p w14:paraId="68ED7ABA"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Cervus</w:t>
            </w:r>
          </w:p>
        </w:tc>
        <w:tc>
          <w:tcPr>
            <w:tcW w:w="995" w:type="dxa"/>
          </w:tcPr>
          <w:p w14:paraId="798A0FD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408E253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Deer</w:t>
            </w:r>
          </w:p>
        </w:tc>
        <w:tc>
          <w:tcPr>
            <w:tcW w:w="1920" w:type="dxa"/>
          </w:tcPr>
          <w:p w14:paraId="28356EF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24EDD87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2526-2886</w:t>
            </w:r>
          </w:p>
        </w:tc>
        <w:tc>
          <w:tcPr>
            <w:tcW w:w="1230" w:type="dxa"/>
          </w:tcPr>
          <w:p w14:paraId="5396EB15"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01004" w14:paraId="6901A5BC" w14:textId="77777777">
        <w:tc>
          <w:tcPr>
            <w:tcW w:w="1560" w:type="dxa"/>
          </w:tcPr>
          <w:p w14:paraId="318995FC"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Crassostrea</w:t>
            </w:r>
          </w:p>
        </w:tc>
        <w:tc>
          <w:tcPr>
            <w:tcW w:w="995" w:type="dxa"/>
          </w:tcPr>
          <w:p w14:paraId="064BA16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94" w:type="dxa"/>
          </w:tcPr>
          <w:p w14:paraId="1E7B3FB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Oysters</w:t>
            </w:r>
          </w:p>
        </w:tc>
        <w:tc>
          <w:tcPr>
            <w:tcW w:w="1920" w:type="dxa"/>
          </w:tcPr>
          <w:p w14:paraId="79470BEA"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Mollusca</w:t>
            </w:r>
          </w:p>
        </w:tc>
        <w:tc>
          <w:tcPr>
            <w:tcW w:w="1425" w:type="dxa"/>
          </w:tcPr>
          <w:p w14:paraId="35A10D1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624-684</w:t>
            </w:r>
          </w:p>
        </w:tc>
        <w:tc>
          <w:tcPr>
            <w:tcW w:w="1230" w:type="dxa"/>
          </w:tcPr>
          <w:p w14:paraId="7E7EFEC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01004" w14:paraId="1682A8E0" w14:textId="77777777">
        <w:tc>
          <w:tcPr>
            <w:tcW w:w="1560" w:type="dxa"/>
          </w:tcPr>
          <w:p w14:paraId="7F3FFE07"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Culex</w:t>
            </w:r>
          </w:p>
        </w:tc>
        <w:tc>
          <w:tcPr>
            <w:tcW w:w="995" w:type="dxa"/>
          </w:tcPr>
          <w:p w14:paraId="55013F7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BED7C4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Mosquitoes</w:t>
            </w:r>
          </w:p>
        </w:tc>
        <w:tc>
          <w:tcPr>
            <w:tcW w:w="1920" w:type="dxa"/>
          </w:tcPr>
          <w:p w14:paraId="50C639F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5FA98D38"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566-573</w:t>
            </w:r>
          </w:p>
        </w:tc>
        <w:tc>
          <w:tcPr>
            <w:tcW w:w="1230" w:type="dxa"/>
          </w:tcPr>
          <w:p w14:paraId="069B7FCE"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01004" w14:paraId="42B905A0" w14:textId="77777777">
        <w:tc>
          <w:tcPr>
            <w:tcW w:w="1560" w:type="dxa"/>
          </w:tcPr>
          <w:p w14:paraId="2D956534"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Daphnia</w:t>
            </w:r>
          </w:p>
        </w:tc>
        <w:tc>
          <w:tcPr>
            <w:tcW w:w="995" w:type="dxa"/>
          </w:tcPr>
          <w:p w14:paraId="57584ED6"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71D5448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Water fleas</w:t>
            </w:r>
          </w:p>
        </w:tc>
        <w:tc>
          <w:tcPr>
            <w:tcW w:w="1920" w:type="dxa"/>
          </w:tcPr>
          <w:p w14:paraId="1DB1DDC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4B952DA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133-161</w:t>
            </w:r>
          </w:p>
        </w:tc>
        <w:tc>
          <w:tcPr>
            <w:tcW w:w="1230" w:type="dxa"/>
          </w:tcPr>
          <w:p w14:paraId="3506034A"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10,12</w:t>
            </w:r>
          </w:p>
        </w:tc>
      </w:tr>
      <w:tr w:rsidR="00B01004" w14:paraId="3448FCBC" w14:textId="77777777">
        <w:tc>
          <w:tcPr>
            <w:tcW w:w="1560" w:type="dxa"/>
          </w:tcPr>
          <w:p w14:paraId="4F199980"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Drosophila</w:t>
            </w:r>
          </w:p>
        </w:tc>
        <w:tc>
          <w:tcPr>
            <w:tcW w:w="995" w:type="dxa"/>
          </w:tcPr>
          <w:p w14:paraId="24229D3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94" w:type="dxa"/>
          </w:tcPr>
          <w:p w14:paraId="5EF5248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Fruit flies</w:t>
            </w:r>
          </w:p>
        </w:tc>
        <w:tc>
          <w:tcPr>
            <w:tcW w:w="1920" w:type="dxa"/>
          </w:tcPr>
          <w:p w14:paraId="7D877D66"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51E2A5E5"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143-191</w:t>
            </w:r>
          </w:p>
        </w:tc>
        <w:tc>
          <w:tcPr>
            <w:tcW w:w="1230" w:type="dxa"/>
          </w:tcPr>
          <w:p w14:paraId="7F0314F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r>
      <w:tr w:rsidR="00B01004" w14:paraId="3351C476" w14:textId="77777777">
        <w:tc>
          <w:tcPr>
            <w:tcW w:w="1560" w:type="dxa"/>
          </w:tcPr>
          <w:p w14:paraId="6F14956E"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Epinephelus</w:t>
            </w:r>
          </w:p>
        </w:tc>
        <w:tc>
          <w:tcPr>
            <w:tcW w:w="995" w:type="dxa"/>
          </w:tcPr>
          <w:p w14:paraId="03B594B3"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94" w:type="dxa"/>
          </w:tcPr>
          <w:p w14:paraId="6816548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Groupers (fish)</w:t>
            </w:r>
          </w:p>
        </w:tc>
        <w:tc>
          <w:tcPr>
            <w:tcW w:w="1920" w:type="dxa"/>
          </w:tcPr>
          <w:p w14:paraId="3BB63735"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5870B68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1030-1087</w:t>
            </w:r>
          </w:p>
        </w:tc>
        <w:tc>
          <w:tcPr>
            <w:tcW w:w="1230" w:type="dxa"/>
          </w:tcPr>
          <w:p w14:paraId="7716734A"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01004" w14:paraId="1856CB89" w14:textId="77777777">
        <w:tc>
          <w:tcPr>
            <w:tcW w:w="1560" w:type="dxa"/>
          </w:tcPr>
          <w:p w14:paraId="62EAAFF7"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Lytechinus</w:t>
            </w:r>
          </w:p>
        </w:tc>
        <w:tc>
          <w:tcPr>
            <w:tcW w:w="995" w:type="dxa"/>
          </w:tcPr>
          <w:p w14:paraId="606D936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66BD0693"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Sea urchins</w:t>
            </w:r>
          </w:p>
        </w:tc>
        <w:tc>
          <w:tcPr>
            <w:tcW w:w="1920" w:type="dxa"/>
          </w:tcPr>
          <w:p w14:paraId="7CB210A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Echinodermata</w:t>
            </w:r>
          </w:p>
        </w:tc>
        <w:tc>
          <w:tcPr>
            <w:tcW w:w="1425" w:type="dxa"/>
          </w:tcPr>
          <w:p w14:paraId="56362CB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869-999</w:t>
            </w:r>
          </w:p>
        </w:tc>
        <w:tc>
          <w:tcPr>
            <w:tcW w:w="1230" w:type="dxa"/>
          </w:tcPr>
          <w:p w14:paraId="775F268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B01004" w14:paraId="69925E7A" w14:textId="77777777">
        <w:tc>
          <w:tcPr>
            <w:tcW w:w="1560" w:type="dxa"/>
          </w:tcPr>
          <w:p w14:paraId="54CB1837"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Mauremys</w:t>
            </w:r>
          </w:p>
        </w:tc>
        <w:tc>
          <w:tcPr>
            <w:tcW w:w="995" w:type="dxa"/>
          </w:tcPr>
          <w:p w14:paraId="0E6CE0D5"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01F9FF9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Turtles</w:t>
            </w:r>
          </w:p>
        </w:tc>
        <w:tc>
          <w:tcPr>
            <w:tcW w:w="1920" w:type="dxa"/>
          </w:tcPr>
          <w:p w14:paraId="6ECFA7EF"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2F6A78B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2367-2484</w:t>
            </w:r>
          </w:p>
        </w:tc>
        <w:tc>
          <w:tcPr>
            <w:tcW w:w="1230" w:type="dxa"/>
          </w:tcPr>
          <w:p w14:paraId="22A686E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B01004" w14:paraId="04EE86A7" w14:textId="77777777">
        <w:tc>
          <w:tcPr>
            <w:tcW w:w="1560" w:type="dxa"/>
          </w:tcPr>
          <w:p w14:paraId="2F3F5340"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Octopus</w:t>
            </w:r>
          </w:p>
        </w:tc>
        <w:tc>
          <w:tcPr>
            <w:tcW w:w="995" w:type="dxa"/>
          </w:tcPr>
          <w:p w14:paraId="2B698B6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0B16B1E3"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Octopus</w:t>
            </w:r>
          </w:p>
        </w:tc>
        <w:tc>
          <w:tcPr>
            <w:tcW w:w="1920" w:type="dxa"/>
          </w:tcPr>
          <w:p w14:paraId="00B30A6A"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Mollusca</w:t>
            </w:r>
          </w:p>
        </w:tc>
        <w:tc>
          <w:tcPr>
            <w:tcW w:w="1425" w:type="dxa"/>
          </w:tcPr>
          <w:p w14:paraId="6FA339C7"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2342-2719</w:t>
            </w:r>
          </w:p>
        </w:tc>
        <w:tc>
          <w:tcPr>
            <w:tcW w:w="1230" w:type="dxa"/>
          </w:tcPr>
          <w:p w14:paraId="63EC8D1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01004" w14:paraId="5D5C78B9" w14:textId="77777777">
        <w:tc>
          <w:tcPr>
            <w:tcW w:w="1560" w:type="dxa"/>
          </w:tcPr>
          <w:p w14:paraId="4DB06479"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w:t>
            </w:r>
          </w:p>
        </w:tc>
        <w:tc>
          <w:tcPr>
            <w:tcW w:w="995" w:type="dxa"/>
          </w:tcPr>
          <w:p w14:paraId="030B4B7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635A5E48"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Tilapia (fish)</w:t>
            </w:r>
          </w:p>
        </w:tc>
        <w:tc>
          <w:tcPr>
            <w:tcW w:w="1920" w:type="dxa"/>
          </w:tcPr>
          <w:p w14:paraId="1CDFD26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519715D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1005</w:t>
            </w:r>
          </w:p>
        </w:tc>
        <w:tc>
          <w:tcPr>
            <w:tcW w:w="1230" w:type="dxa"/>
          </w:tcPr>
          <w:p w14:paraId="2C2D352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B01004" w14:paraId="009F5812" w14:textId="77777777">
        <w:tc>
          <w:tcPr>
            <w:tcW w:w="1560" w:type="dxa"/>
          </w:tcPr>
          <w:p w14:paraId="3F903875"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Perca</w:t>
            </w:r>
          </w:p>
        </w:tc>
        <w:tc>
          <w:tcPr>
            <w:tcW w:w="995" w:type="dxa"/>
          </w:tcPr>
          <w:p w14:paraId="1AD2C5E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2FE3FBA"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Perch (fish)</w:t>
            </w:r>
          </w:p>
        </w:tc>
        <w:tc>
          <w:tcPr>
            <w:tcW w:w="1920" w:type="dxa"/>
          </w:tcPr>
          <w:p w14:paraId="0EDF8722"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304FDE8C"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877-951</w:t>
            </w:r>
          </w:p>
        </w:tc>
        <w:tc>
          <w:tcPr>
            <w:tcW w:w="1230" w:type="dxa"/>
          </w:tcPr>
          <w:p w14:paraId="0319675F"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01004" w14:paraId="53BFC26C" w14:textId="77777777">
        <w:trPr>
          <w:trHeight w:val="439"/>
        </w:trPr>
        <w:tc>
          <w:tcPr>
            <w:tcW w:w="1560" w:type="dxa"/>
          </w:tcPr>
          <w:p w14:paraId="7C0252A0"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Thunnus</w:t>
            </w:r>
          </w:p>
        </w:tc>
        <w:tc>
          <w:tcPr>
            <w:tcW w:w="995" w:type="dxa"/>
          </w:tcPr>
          <w:p w14:paraId="0028BBC9"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35B8B176"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Tuna (fish)</w:t>
            </w:r>
          </w:p>
        </w:tc>
        <w:tc>
          <w:tcPr>
            <w:tcW w:w="1920" w:type="dxa"/>
          </w:tcPr>
          <w:p w14:paraId="097CD27D"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14A3C660"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782-792</w:t>
            </w:r>
          </w:p>
        </w:tc>
        <w:tc>
          <w:tcPr>
            <w:tcW w:w="1230" w:type="dxa"/>
          </w:tcPr>
          <w:p w14:paraId="69FE16DB"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01004" w14:paraId="5C040075" w14:textId="77777777">
        <w:tc>
          <w:tcPr>
            <w:tcW w:w="1560" w:type="dxa"/>
          </w:tcPr>
          <w:p w14:paraId="7E929487" w14:textId="77777777" w:rsidR="00EF30E6"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Vespa</w:t>
            </w:r>
          </w:p>
        </w:tc>
        <w:tc>
          <w:tcPr>
            <w:tcW w:w="995" w:type="dxa"/>
          </w:tcPr>
          <w:p w14:paraId="58590371"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69E5DE6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Hornets</w:t>
            </w:r>
          </w:p>
        </w:tc>
        <w:tc>
          <w:tcPr>
            <w:tcW w:w="1920" w:type="dxa"/>
          </w:tcPr>
          <w:p w14:paraId="32918216"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13386514"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193-229</w:t>
            </w:r>
          </w:p>
        </w:tc>
        <w:tc>
          <w:tcPr>
            <w:tcW w:w="1230" w:type="dxa"/>
          </w:tcPr>
          <w:p w14:paraId="758A76FF" w14:textId="77777777" w:rsidR="00EF30E6"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(26 </w:t>
            </w:r>
            <w:r>
              <w:rPr>
                <w:rFonts w:ascii="Times New Roman" w:eastAsia="Times New Roman" w:hAnsi="Times New Roman" w:cs="Times New Roman"/>
                <w:b/>
                <w:sz w:val="20"/>
                <w:szCs w:val="20"/>
                <w:vertAlign w:val="superscript"/>
              </w:rPr>
              <w:t>b</w:t>
            </w:r>
            <w:r>
              <w:rPr>
                <w:rFonts w:ascii="Times New Roman" w:eastAsia="Times New Roman" w:hAnsi="Times New Roman" w:cs="Times New Roman"/>
                <w:sz w:val="20"/>
                <w:szCs w:val="20"/>
              </w:rPr>
              <w:t>)</w:t>
            </w:r>
          </w:p>
        </w:tc>
      </w:tr>
    </w:tbl>
    <w:p w14:paraId="1456AF99" w14:textId="77777777" w:rsidR="00B44343" w:rsidRDefault="00B44343">
      <w:pPr>
        <w:pStyle w:val="Heading4"/>
        <w:rPr>
          <w:del w:id="31" w:author="Author" w:date="2024-12-27T12:21:00Z" w16du:dateUtc="2024-12-27T11:21:00Z"/>
          <w:color w:val="000000"/>
          <w:sz w:val="22"/>
          <w:szCs w:val="22"/>
        </w:rPr>
      </w:pPr>
      <w:bookmarkStart w:id="32" w:name="_grg3nmf63ri4" w:colFirst="0" w:colLast="0"/>
      <w:bookmarkStart w:id="33" w:name="_go6iijkwqoo0"/>
      <w:bookmarkEnd w:id="32"/>
      <w:bookmarkEnd w:id="33"/>
    </w:p>
    <w:p w14:paraId="5C9B32C8" w14:textId="77777777" w:rsidR="00B44343" w:rsidRDefault="00B44343">
      <w:pPr>
        <w:pStyle w:val="Heading4"/>
        <w:rPr>
          <w:del w:id="34" w:author="Author" w:date="2024-12-27T12:21:00Z" w16du:dateUtc="2024-12-27T11:21:00Z"/>
          <w:color w:val="000000"/>
          <w:sz w:val="22"/>
          <w:szCs w:val="22"/>
        </w:rPr>
      </w:pPr>
      <w:bookmarkStart w:id="35" w:name="_kwc4ns5y78tt" w:colFirst="0" w:colLast="0"/>
      <w:bookmarkEnd w:id="35"/>
    </w:p>
    <w:p w14:paraId="48F81752" w14:textId="77777777" w:rsidR="00B44343" w:rsidRDefault="00B44343">
      <w:pPr>
        <w:pStyle w:val="Heading4"/>
        <w:rPr>
          <w:del w:id="36" w:author="Author" w:date="2024-12-27T12:21:00Z" w16du:dateUtc="2024-12-27T11:21:00Z"/>
          <w:color w:val="000000"/>
          <w:sz w:val="22"/>
          <w:szCs w:val="22"/>
        </w:rPr>
      </w:pPr>
      <w:bookmarkStart w:id="37" w:name="_qrs4ng42a0cl" w:colFirst="0" w:colLast="0"/>
      <w:bookmarkEnd w:id="37"/>
    </w:p>
    <w:p w14:paraId="70A37782" w14:textId="77777777" w:rsidR="00B44343" w:rsidRDefault="00B44343">
      <w:pPr>
        <w:pStyle w:val="Heading4"/>
        <w:rPr>
          <w:del w:id="38" w:author="Author" w:date="2024-12-27T12:21:00Z" w16du:dateUtc="2024-12-27T11:21:00Z"/>
          <w:color w:val="000000"/>
          <w:sz w:val="22"/>
          <w:szCs w:val="22"/>
        </w:rPr>
      </w:pPr>
      <w:bookmarkStart w:id="39" w:name="_q2evo4djl71i" w:colFirst="0" w:colLast="0"/>
      <w:bookmarkEnd w:id="39"/>
    </w:p>
    <w:p w14:paraId="4A2CA472" w14:textId="77777777" w:rsidR="00B44343" w:rsidRDefault="00B44343">
      <w:pPr>
        <w:pStyle w:val="Heading4"/>
        <w:rPr>
          <w:del w:id="40" w:author="Author" w:date="2024-12-27T12:21:00Z" w16du:dateUtc="2024-12-27T11:21:00Z"/>
          <w:color w:val="000000"/>
          <w:sz w:val="22"/>
          <w:szCs w:val="22"/>
        </w:rPr>
      </w:pPr>
      <w:bookmarkStart w:id="41" w:name="_ly1sfndkc1ba" w:colFirst="0" w:colLast="0"/>
      <w:bookmarkEnd w:id="41"/>
    </w:p>
    <w:p w14:paraId="2DAD8ABF" w14:textId="77777777" w:rsidR="00B44343" w:rsidRDefault="00B44343">
      <w:pPr>
        <w:pStyle w:val="Heading4"/>
        <w:rPr>
          <w:del w:id="42" w:author="Author" w:date="2024-12-27T12:21:00Z" w16du:dateUtc="2024-12-27T11:21:00Z"/>
          <w:color w:val="000000"/>
          <w:sz w:val="22"/>
          <w:szCs w:val="22"/>
        </w:rPr>
      </w:pPr>
      <w:bookmarkStart w:id="43" w:name="_v98q6auaay9y" w:colFirst="0" w:colLast="0"/>
      <w:bookmarkEnd w:id="43"/>
    </w:p>
    <w:p w14:paraId="20927108" w14:textId="77777777" w:rsidR="00EF30E6" w:rsidRDefault="00000000">
      <w:pPr>
        <w:pStyle w:val="Heading4"/>
        <w:rPr>
          <w:color w:val="000000"/>
          <w:sz w:val="20"/>
          <w:szCs w:val="20"/>
        </w:rPr>
      </w:pPr>
      <w:r>
        <w:rPr>
          <w:b/>
          <w:color w:val="000000"/>
          <w:sz w:val="20"/>
          <w:szCs w:val="20"/>
        </w:rPr>
        <w:t>Table 1:</w:t>
      </w:r>
      <w:r>
        <w:rPr>
          <w:color w:val="000000"/>
          <w:sz w:val="20"/>
          <w:szCs w:val="20"/>
        </w:rPr>
        <w:t xml:space="preserve"> The 17 genera used in analysis. </w:t>
      </w:r>
    </w:p>
    <w:p w14:paraId="2D07024B" w14:textId="77777777" w:rsidR="00EF30E6" w:rsidRDefault="00000000">
      <w:pPr>
        <w:pStyle w:val="Heading4"/>
        <w:rPr>
          <w:color w:val="000000"/>
          <w:sz w:val="18"/>
          <w:szCs w:val="18"/>
        </w:rPr>
      </w:pPr>
      <w:bookmarkStart w:id="44" w:name="_x4t5radg3d5o" w:colFirst="0" w:colLast="0"/>
      <w:bookmarkEnd w:id="44"/>
      <w:r>
        <w:rPr>
          <w:color w:val="000000"/>
          <w:sz w:val="18"/>
          <w:szCs w:val="18"/>
          <w:vertAlign w:val="superscript"/>
        </w:rPr>
        <w:t>a</w:t>
      </w:r>
      <w:r>
        <w:rPr>
          <w:color w:val="000000"/>
          <w:sz w:val="18"/>
          <w:szCs w:val="18"/>
        </w:rPr>
        <w:t xml:space="preserve"> several unassigned scaffolds in both </w:t>
      </w:r>
      <w:r>
        <w:rPr>
          <w:i/>
          <w:color w:val="000000"/>
          <w:sz w:val="18"/>
          <w:szCs w:val="18"/>
        </w:rPr>
        <w:t>Bombus</w:t>
      </w:r>
      <w:r>
        <w:rPr>
          <w:color w:val="000000"/>
          <w:sz w:val="18"/>
          <w:szCs w:val="18"/>
        </w:rPr>
        <w:t xml:space="preserve"> species appear roughly the size of chromosomes, and would account for an extra 4-6 chromosomes.</w:t>
      </w:r>
    </w:p>
    <w:p w14:paraId="00EFCE8B" w14:textId="77777777" w:rsidR="00EF30E6" w:rsidRDefault="00000000">
      <w:pPr>
        <w:pStyle w:val="Heading4"/>
        <w:spacing w:before="0"/>
        <w:rPr>
          <w:rFonts w:ascii="Times New Roman" w:eastAsia="Times New Roman" w:hAnsi="Times New Roman" w:cs="Times New Roman"/>
          <w:color w:val="000000"/>
          <w:sz w:val="18"/>
          <w:szCs w:val="18"/>
        </w:rPr>
      </w:pPr>
      <w:bookmarkStart w:id="45" w:name="_z37gt9pmp3eq" w:colFirst="0" w:colLast="0"/>
      <w:bookmarkEnd w:id="45"/>
      <w:r>
        <w:rPr>
          <w:color w:val="000000"/>
          <w:sz w:val="18"/>
          <w:szCs w:val="18"/>
          <w:vertAlign w:val="superscript"/>
        </w:rPr>
        <w:t>b</w:t>
      </w:r>
      <w:r>
        <w:rPr>
          <w:color w:val="000000"/>
          <w:sz w:val="18"/>
          <w:szCs w:val="18"/>
        </w:rPr>
        <w:t xml:space="preserve"> 6Mb of unassigned scaffolds are given as a single scaffold in </w:t>
      </w:r>
      <w:r>
        <w:rPr>
          <w:i/>
          <w:color w:val="000000"/>
          <w:sz w:val="18"/>
          <w:szCs w:val="18"/>
        </w:rPr>
        <w:t>V. crabro</w:t>
      </w:r>
      <w:r>
        <w:rPr>
          <w:color w:val="000000"/>
          <w:sz w:val="18"/>
          <w:szCs w:val="18"/>
        </w:rPr>
        <w:t xml:space="preserve">, with mostly masked bases and effectively no annotated genes, hence no synteny was detected with </w:t>
      </w:r>
      <w:r>
        <w:rPr>
          <w:i/>
          <w:color w:val="000000"/>
          <w:sz w:val="18"/>
          <w:szCs w:val="18"/>
        </w:rPr>
        <w:t>V. velutina</w:t>
      </w:r>
      <w:r>
        <w:rPr>
          <w:color w:val="000000"/>
          <w:sz w:val="18"/>
          <w:szCs w:val="18"/>
        </w:rPr>
        <w:t>.</w:t>
      </w:r>
    </w:p>
    <w:p w14:paraId="75B09959" w14:textId="77777777" w:rsidR="00B44343" w:rsidRDefault="00B44343">
      <w:pPr>
        <w:pStyle w:val="Heading3"/>
        <w:spacing w:line="360" w:lineRule="auto"/>
        <w:rPr>
          <w:del w:id="46" w:author="Author" w:date="2024-12-27T12:21:00Z" w16du:dateUtc="2024-12-27T11:21:00Z"/>
        </w:rPr>
      </w:pPr>
      <w:bookmarkStart w:id="47" w:name="_mfmgrhqf8fkd" w:colFirst="0" w:colLast="0"/>
      <w:bookmarkStart w:id="48" w:name="_rsu5l74nv7zu"/>
      <w:bookmarkEnd w:id="47"/>
      <w:bookmarkEnd w:id="48"/>
    </w:p>
    <w:p w14:paraId="0AD34F11" w14:textId="77777777" w:rsidR="00EF30E6" w:rsidRDefault="00000000">
      <w:pPr>
        <w:pStyle w:val="Heading3"/>
        <w:spacing w:line="360" w:lineRule="auto"/>
      </w:pPr>
      <w:r>
        <w:t>Removal of additional protein isoforms</w:t>
      </w:r>
    </w:p>
    <w:p w14:paraId="678CE4DD"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Because the NCBI annotation pipeline will include splice variants where evidence is available, several pre-processing steps were applied for each species to avoid isoforms from interfering with nearly all steps of the analysis (e.g., counting duplicate orthologs). For our analyses, only the longest isoform was retained for each gene using a custom Python script “get_genbank_longest_isoforms.py”. This script simultaneously removes the shorter protein isoforms for each gene and the annotation entries from the respective GFF files. It should be noted that the longest isoform is not necessarily the “primary” or “correct” one, however, the role of splice variation in evolution or phylogenetics is not well-studied, and the main focus of our analyses was the maintenance or break of synteny blocks that can be identified with any of the alternative isoforms. The filtered versions of the genomes were used for all subsequent analyses, including the microsynteny and protein sequence identity. Scripts are available online at </w:t>
      </w:r>
      <w:r>
        <w:fldChar w:fldCharType="begin"/>
      </w:r>
      <w:r>
        <w:instrText>HYPERLINK "https://github.com/PalMuc/speciation_synteny/tree/main" \h</w:instrText>
      </w:r>
      <w:r>
        <w:fldChar w:fldCharType="separate"/>
      </w:r>
      <w:r>
        <w:rPr>
          <w:rFonts w:ascii="Times New Roman" w:eastAsia="Times New Roman" w:hAnsi="Times New Roman" w:cs="Times New Roman"/>
          <w:color w:val="1155CC"/>
          <w:u w:val="single"/>
        </w:rPr>
        <w:t>https://github.com/PalMuc/congeneric_synteny/tree/main</w:t>
      </w:r>
      <w:r>
        <w:fldChar w:fldCharType="end"/>
      </w:r>
      <w:r>
        <w:rPr>
          <w:rFonts w:ascii="Times New Roman" w:eastAsia="Times New Roman" w:hAnsi="Times New Roman" w:cs="Times New Roman"/>
        </w:rPr>
        <w:t>.</w:t>
      </w:r>
    </w:p>
    <w:p w14:paraId="12F7F4FA" w14:textId="77777777" w:rsidR="00B44343" w:rsidRDefault="00B44343">
      <w:pPr>
        <w:spacing w:line="360" w:lineRule="auto"/>
        <w:rPr>
          <w:del w:id="49" w:author="Author" w:date="2024-12-27T12:21:00Z" w16du:dateUtc="2024-12-27T11:21:00Z"/>
          <w:rFonts w:ascii="Times New Roman" w:eastAsia="Times New Roman" w:hAnsi="Times New Roman" w:cs="Times New Roman"/>
        </w:rPr>
      </w:pPr>
      <w:bookmarkStart w:id="50" w:name="_nin7rche5y0r" w:colFirst="0" w:colLast="0"/>
      <w:bookmarkEnd w:id="50"/>
    </w:p>
    <w:p w14:paraId="2334E5A4" w14:textId="77777777" w:rsidR="00EF30E6" w:rsidRDefault="00000000">
      <w:pPr>
        <w:pStyle w:val="Heading3"/>
        <w:spacing w:line="360" w:lineRule="auto"/>
      </w:pPr>
      <w:r>
        <w:t>Generation of ortholog pairs</w:t>
      </w:r>
    </w:p>
    <w:p w14:paraId="3F5A7D4D"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For each species</w:t>
      </w:r>
      <w:ins w:id="51" w:author="Author" w:date="2024-12-27T12:21:00Z" w16du:dateUtc="2024-12-27T11:21:00Z">
        <w:r>
          <w:rPr>
            <w:rFonts w:ascii="Times New Roman" w:eastAsia="Times New Roman" w:hAnsi="Times New Roman" w:cs="Times New Roman"/>
          </w:rPr>
          <w:t xml:space="preserve"> pair</w:t>
        </w:r>
      </w:ins>
      <w:r>
        <w:rPr>
          <w:rFonts w:ascii="Times New Roman" w:eastAsia="Times New Roman" w:hAnsi="Times New Roman" w:cs="Times New Roman"/>
        </w:rPr>
        <w:t xml:space="preserve">, homologous protein clusters were generated using the following strategy. Proteins were aligned using DIAMOND v2.0.13 </w:t>
      </w:r>
      <w:r>
        <w:fldChar w:fldCharType="begin"/>
      </w:r>
      <w:r>
        <w:instrText>HYPERLINK "https://paperpile.com/c/pirA7c/jBr5" \h</w:instrText>
      </w:r>
      <w:r>
        <w:fldChar w:fldCharType="separate"/>
      </w:r>
      <w:r>
        <w:rPr>
          <w:rFonts w:ascii="Times New Roman" w:eastAsia="Times New Roman" w:hAnsi="Times New Roman" w:cs="Times New Roman"/>
          <w:color w:val="000000"/>
        </w:rPr>
        <w:t>(Buchfink et al. 2015)</w:t>
      </w:r>
      <w:r>
        <w:fldChar w:fldCharType="end"/>
      </w:r>
      <w:r>
        <w:rPr>
          <w:rFonts w:ascii="Times New Roman" w:eastAsia="Times New Roman" w:hAnsi="Times New Roman" w:cs="Times New Roman"/>
        </w:rPr>
        <w:t xml:space="preserve"> with default parameters. Ortholog pairs were generated using the custom script `makehomologs.py`, which first filters the DIAMOND hits by removing self-matches, removing matches with a low bitscore to length ratio, and finally leverages `MCL` for the actual clustering </w:t>
      </w:r>
      <w:r>
        <w:fldChar w:fldCharType="begin"/>
      </w:r>
      <w:r>
        <w:instrText>HYPERLINK "https://paperpile.com/c/pirA7c/bPfh" \h</w:instrText>
      </w:r>
      <w:r>
        <w:fldChar w:fldCharType="separate"/>
      </w:r>
      <w:r>
        <w:rPr>
          <w:rFonts w:ascii="Times New Roman" w:eastAsia="Times New Roman" w:hAnsi="Times New Roman" w:cs="Times New Roman"/>
          <w:color w:val="000000"/>
        </w:rPr>
        <w:t>(Enright et al. 2002)</w:t>
      </w:r>
      <w:r>
        <w:fldChar w:fldCharType="end"/>
      </w:r>
      <w:r>
        <w:rPr>
          <w:rFonts w:ascii="Times New Roman" w:eastAsia="Times New Roman" w:hAnsi="Times New Roman" w:cs="Times New Roman"/>
        </w:rPr>
        <w:t xml:space="preserve">. </w:t>
      </w:r>
    </w:p>
    <w:p w14:paraId="0D85B9B5" w14:textId="77777777" w:rsidR="00EF30E6" w:rsidRDefault="00EF30E6">
      <w:pPr>
        <w:spacing w:line="360" w:lineRule="auto"/>
        <w:rPr>
          <w:ins w:id="52" w:author="Author" w:date="2024-12-27T12:21:00Z" w16du:dateUtc="2024-12-27T11:21:00Z"/>
          <w:rFonts w:ascii="Times New Roman" w:eastAsia="Times New Roman" w:hAnsi="Times New Roman" w:cs="Times New Roman"/>
        </w:rPr>
      </w:pPr>
    </w:p>
    <w:p w14:paraId="5E321A36" w14:textId="4D7DE839"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Several filtering steps were applied (see Supplemental Figure 1), and only one-to-one protein clusters  were retained for subsequent analysis (i.e., paralogs were removed). This means that fragmented proteins (where one gene is fragmented in either genome and results in two proteins that align to a single protein in the other genome) were excluded. This also means that genes duplicated in either genome (1-to-many and many-to-many orthologs) are also excluded, even if they were identical. It should be noted that this method does not directly identify pairs by synteny. That is, clustered proteins or identical proteins may still be omitted if that cluster is not single-copy in both genomes, even if the synteny potentially could be detected by a stricter approach. For instance, the three copies of human calmodulin are 100% identical to each other and to the four mouse homologs, but this would result in a cluster of seven proteins, and then get excluded from the analysis regardless of their chromosomal arrangement. Each ortholog pair was then subsequently aligned with MAFFT v7.487 </w:t>
      </w:r>
      <w:r>
        <w:fldChar w:fldCharType="begin"/>
      </w:r>
      <w:r>
        <w:instrText>HYPERLINK "https://paperpile.com/c/pirA7c/95GJ" \h</w:instrText>
      </w:r>
      <w:r>
        <w:fldChar w:fldCharType="separate"/>
      </w:r>
      <w:r>
        <w:rPr>
          <w:rFonts w:ascii="Times New Roman" w:eastAsia="Times New Roman" w:hAnsi="Times New Roman" w:cs="Times New Roman"/>
          <w:color w:val="000000"/>
        </w:rPr>
        <w:t>(Katoh and Standley 2013)</w:t>
      </w:r>
      <w:r>
        <w:fldChar w:fldCharType="end"/>
      </w:r>
      <w:r>
        <w:rPr>
          <w:rFonts w:ascii="Times New Roman" w:eastAsia="Times New Roman" w:hAnsi="Times New Roman" w:cs="Times New Roman"/>
        </w:rPr>
        <w:t xml:space="preserve"> to account for the entire protein in calculations of protein identity. Amino acid sites were defined as identical, different, or gaps for each species using the custom Python script “alignment_conserved_site_to_dots.py”. Protein identity was calculated as the number of identities divided by the number of identities plus differences, meaning that gap sites were ignored. The frequency of gaps by species is examined in Supplemental Figure </w:t>
      </w:r>
      <w:del w:id="53" w:author="Author" w:date="2024-12-27T12:21:00Z" w16du:dateUtc="2024-12-27T11:21:00Z">
        <w:r>
          <w:rPr>
            <w:rFonts w:ascii="Times New Roman" w:eastAsia="Times New Roman" w:hAnsi="Times New Roman" w:cs="Times New Roman"/>
          </w:rPr>
          <w:delText>5</w:delText>
        </w:r>
      </w:del>
      <w:ins w:id="54" w:author="Author" w:date="2024-12-27T12:21:00Z" w16du:dateUtc="2024-12-27T11:21:00Z">
        <w:r>
          <w:rPr>
            <w:rFonts w:ascii="Times New Roman" w:eastAsia="Times New Roman" w:hAnsi="Times New Roman" w:cs="Times New Roman"/>
          </w:rPr>
          <w:t>2</w:t>
        </w:r>
      </w:ins>
      <w:r>
        <w:rPr>
          <w:rFonts w:ascii="Times New Roman" w:eastAsia="Times New Roman" w:hAnsi="Times New Roman" w:cs="Times New Roman"/>
        </w:rPr>
        <w:t>, but does not appear to cause any obvious bias</w:t>
      </w:r>
      <w:ins w:id="55" w:author="Author" w:date="2024-12-27T12:21:00Z" w16du:dateUtc="2024-12-27T11:21:00Z">
        <w:r>
          <w:rPr>
            <w:rFonts w:ascii="Times New Roman" w:eastAsia="Times New Roman" w:hAnsi="Times New Roman" w:cs="Times New Roman"/>
          </w:rPr>
          <w:t>, such as if highly-divergent regions were systematically missed in many protein pairs</w:t>
        </w:r>
      </w:ins>
      <w:r>
        <w:rPr>
          <w:rFonts w:ascii="Times New Roman" w:eastAsia="Times New Roman" w:hAnsi="Times New Roman" w:cs="Times New Roman"/>
        </w:rPr>
        <w:t>.</w:t>
      </w:r>
    </w:p>
    <w:p w14:paraId="72429E88" w14:textId="77777777" w:rsidR="00B44343" w:rsidRDefault="00B44343">
      <w:pPr>
        <w:spacing w:line="360" w:lineRule="auto"/>
        <w:rPr>
          <w:del w:id="56" w:author="Author" w:date="2024-12-27T12:21:00Z" w16du:dateUtc="2024-12-27T11:21:00Z"/>
          <w:rFonts w:ascii="Times New Roman" w:eastAsia="Times New Roman" w:hAnsi="Times New Roman" w:cs="Times New Roman"/>
        </w:rPr>
      </w:pPr>
      <w:bookmarkStart w:id="57" w:name="_o72i3ha6fkh5" w:colFirst="0" w:colLast="0"/>
      <w:bookmarkEnd w:id="57"/>
    </w:p>
    <w:p w14:paraId="43247211" w14:textId="77777777" w:rsidR="00EF30E6" w:rsidRDefault="00000000">
      <w:pPr>
        <w:pStyle w:val="Heading3"/>
        <w:spacing w:line="360" w:lineRule="auto"/>
      </w:pPr>
      <w:r>
        <w:t>Quantification of microsynteny in genome pairs</w:t>
      </w:r>
    </w:p>
    <w:p w14:paraId="6838D7F4"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We then quantified the number of genes that could be found in syntenic blocks between each pair of congeneric species using the custom Python script “microsynteny.py”, with various options depending on the species pair (see https://github.com/wrf/genomeGTFtools/blob/master/microsynteny.py). Here, we define microsynteny as blocks of three or more consecutive genes in the same order in both species, which are then assumed to be homologous, or “identical by descent”.</w:t>
      </w:r>
    </w:p>
    <w:p w14:paraId="67C1AD6A" w14:textId="11472F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As intergenic length is linearly related to total genome size </w:t>
      </w:r>
      <w:r>
        <w:fldChar w:fldCharType="begin"/>
      </w:r>
      <w:r>
        <w:instrText>HYPERLINK "https://paperpile.com/c/pirA7c/t4h6" \h</w:instrText>
      </w:r>
      <w:r>
        <w:fldChar w:fldCharType="separate"/>
      </w:r>
      <w:r>
        <w:rPr>
          <w:rFonts w:ascii="Times New Roman" w:eastAsia="Times New Roman" w:hAnsi="Times New Roman" w:cs="Times New Roman"/>
          <w:color w:val="000000"/>
        </w:rPr>
        <w:t>(Francis and Wörheide 2017)</w:t>
      </w:r>
      <w:r>
        <w:fldChar w:fldCharType="end"/>
      </w:r>
      <w:r>
        <w:rPr>
          <w:rFonts w:ascii="Times New Roman" w:eastAsia="Times New Roman" w:hAnsi="Times New Roman" w:cs="Times New Roman"/>
        </w:rPr>
        <w:t xml:space="preserve">, programs measuring microsynteny are very sensitive to any parameters controlling the allowed distance to the next gene. We calibrated the allowed distance to the next gene across several species, finding the optimal length of ca. 1/5000 of the total length of the genome (Supplemental Figure </w:t>
      </w:r>
      <w:del w:id="58" w:author="Author" w:date="2024-12-27T12:21:00Z" w16du:dateUtc="2024-12-27T11:21:00Z">
        <w:r>
          <w:rPr>
            <w:rFonts w:ascii="Times New Roman" w:eastAsia="Times New Roman" w:hAnsi="Times New Roman" w:cs="Times New Roman"/>
          </w:rPr>
          <w:delText>2</w:delText>
        </w:r>
      </w:del>
      <w:ins w:id="59" w:author="Author" w:date="2024-12-27T12:21:00Z" w16du:dateUtc="2024-12-27T11:21:00Z">
        <w:r>
          <w:rPr>
            <w:rFonts w:ascii="Times New Roman" w:eastAsia="Times New Roman" w:hAnsi="Times New Roman" w:cs="Times New Roman"/>
          </w:rPr>
          <w:t>3</w:t>
        </w:r>
      </w:ins>
      <w:r>
        <w:rPr>
          <w:rFonts w:ascii="Times New Roman" w:eastAsia="Times New Roman" w:hAnsi="Times New Roman" w:cs="Times New Roman"/>
        </w:rPr>
        <w:t xml:space="preserve">). For instance, for the tuna, this length accounted for 99.4% of intergenic distances (Supplemental Figure </w:t>
      </w:r>
      <w:del w:id="60" w:author="Author" w:date="2024-12-27T12:21:00Z" w16du:dateUtc="2024-12-27T11:21:00Z">
        <w:r>
          <w:rPr>
            <w:rFonts w:ascii="Times New Roman" w:eastAsia="Times New Roman" w:hAnsi="Times New Roman" w:cs="Times New Roman"/>
          </w:rPr>
          <w:delText>3</w:delText>
        </w:r>
      </w:del>
      <w:ins w:id="61" w:author="Author" w:date="2024-12-27T12:21:00Z" w16du:dateUtc="2024-12-27T11:21:00Z">
        <w:r>
          <w:rPr>
            <w:rFonts w:ascii="Times New Roman" w:eastAsia="Times New Roman" w:hAnsi="Times New Roman" w:cs="Times New Roman"/>
          </w:rPr>
          <w:t>4</w:t>
        </w:r>
      </w:ins>
      <w:r>
        <w:rPr>
          <w:rFonts w:ascii="Times New Roman" w:eastAsia="Times New Roman" w:hAnsi="Times New Roman" w:cs="Times New Roman"/>
        </w:rPr>
        <w:t xml:space="preserve">), meaning that a value was used to account for nearly all genes. Identifying syntenic blocks can also be affected by gene insertions or deletions, so the minimum block length and number of “intervening genes” (i.e., those inserted/deleted) were also evaluated. Based on this, we required a minimum of three genes per block and allowed up to four intervening genes (Supplemental Figure </w:t>
      </w:r>
      <w:del w:id="62" w:author="Author" w:date="2024-12-27T12:21:00Z" w16du:dateUtc="2024-12-27T11:21:00Z">
        <w:r>
          <w:rPr>
            <w:rFonts w:ascii="Times New Roman" w:eastAsia="Times New Roman" w:hAnsi="Times New Roman" w:cs="Times New Roman"/>
          </w:rPr>
          <w:delText>4</w:delText>
        </w:r>
      </w:del>
      <w:ins w:id="63" w:author="Author" w:date="2024-12-27T12:21:00Z" w16du:dateUtc="2024-12-27T11:21:00Z">
        <w:r>
          <w:rPr>
            <w:rFonts w:ascii="Times New Roman" w:eastAsia="Times New Roman" w:hAnsi="Times New Roman" w:cs="Times New Roman"/>
          </w:rPr>
          <w:t>5</w:t>
        </w:r>
      </w:ins>
      <w:r>
        <w:rPr>
          <w:rFonts w:ascii="Times New Roman" w:eastAsia="Times New Roman" w:hAnsi="Times New Roman" w:cs="Times New Roman"/>
        </w:rPr>
        <w:t xml:space="preserve">). When the minimum was set to two genes per block, as was used by </w:t>
      </w:r>
      <w:r>
        <w:fldChar w:fldCharType="begin"/>
      </w:r>
      <w:r>
        <w:instrText>HYPERLINK "https://paperpile.com/c/pirA7c/YxaS" \h</w:instrText>
      </w:r>
      <w:r>
        <w:fldChar w:fldCharType="separate"/>
      </w:r>
      <w:r>
        <w:rPr>
          <w:rFonts w:ascii="Times New Roman" w:eastAsia="Times New Roman" w:hAnsi="Times New Roman" w:cs="Times New Roman"/>
          <w:color w:val="000000"/>
        </w:rPr>
        <w:t>(Zdobnov and Bork 2007)</w:t>
      </w:r>
      <w:r>
        <w:fldChar w:fldCharType="end"/>
      </w:r>
      <w:r>
        <w:rPr>
          <w:rFonts w:ascii="Times New Roman" w:eastAsia="Times New Roman" w:hAnsi="Times New Roman" w:cs="Times New Roman"/>
        </w:rPr>
        <w:t xml:space="preserve">, the results were not appreciably different. Since spurious synteny blocks were frequent in randomised datasets when </w:t>
      </w:r>
      <w:r>
        <w:rPr>
          <w:rFonts w:ascii="Times New Roman" w:eastAsia="Times New Roman" w:hAnsi="Times New Roman" w:cs="Times New Roman"/>
        </w:rPr>
        <w:lastRenderedPageBreak/>
        <w:t xml:space="preserve">the minimum number of genes per block was set to two (Supplemental Figure </w:t>
      </w:r>
      <w:del w:id="64" w:author="Author" w:date="2024-12-27T12:21:00Z" w16du:dateUtc="2024-12-27T11:21:00Z">
        <w:r>
          <w:rPr>
            <w:rFonts w:ascii="Times New Roman" w:eastAsia="Times New Roman" w:hAnsi="Times New Roman" w:cs="Times New Roman"/>
          </w:rPr>
          <w:delText>4</w:delText>
        </w:r>
      </w:del>
      <w:ins w:id="65" w:author="Author" w:date="2024-12-27T12:21:00Z" w16du:dateUtc="2024-12-27T11:21:00Z">
        <w:r>
          <w:rPr>
            <w:rFonts w:ascii="Times New Roman" w:eastAsia="Times New Roman" w:hAnsi="Times New Roman" w:cs="Times New Roman"/>
          </w:rPr>
          <w:t>5</w:t>
        </w:r>
      </w:ins>
      <w:r>
        <w:rPr>
          <w:rFonts w:ascii="Times New Roman" w:eastAsia="Times New Roman" w:hAnsi="Times New Roman" w:cs="Times New Roman"/>
        </w:rPr>
        <w:t xml:space="preserve"> A, B) and were greatly reduced (10-20 fold reduction) if the minimum number of syntenic genes was set to three (Supplemental Figure </w:t>
      </w:r>
      <w:del w:id="66" w:author="Author" w:date="2024-12-27T12:21:00Z" w16du:dateUtc="2024-12-27T11:21:00Z">
        <w:r>
          <w:rPr>
            <w:rFonts w:ascii="Times New Roman" w:eastAsia="Times New Roman" w:hAnsi="Times New Roman" w:cs="Times New Roman"/>
          </w:rPr>
          <w:delText>4</w:delText>
        </w:r>
      </w:del>
      <w:ins w:id="67" w:author="Author" w:date="2024-12-27T12:21:00Z" w16du:dateUtc="2024-12-27T11:21:00Z">
        <w:r>
          <w:rPr>
            <w:rFonts w:ascii="Times New Roman" w:eastAsia="Times New Roman" w:hAnsi="Times New Roman" w:cs="Times New Roman"/>
          </w:rPr>
          <w:t>5</w:t>
        </w:r>
      </w:ins>
      <w:r>
        <w:rPr>
          <w:rFonts w:ascii="Times New Roman" w:eastAsia="Times New Roman" w:hAnsi="Times New Roman" w:cs="Times New Roman"/>
        </w:rPr>
        <w:t xml:space="preserve"> A) we used three genes per block as a conservative approach to synteny determination.</w:t>
      </w:r>
    </w:p>
    <w:p w14:paraId="0C26AC6E" w14:textId="77777777" w:rsidR="00EF30E6" w:rsidRDefault="00EF30E6">
      <w:pPr>
        <w:spacing w:line="360" w:lineRule="auto"/>
        <w:rPr>
          <w:rFonts w:ascii="Times New Roman" w:eastAsia="Times New Roman" w:hAnsi="Times New Roman" w:cs="Times New Roman"/>
        </w:rPr>
      </w:pPr>
    </w:p>
    <w:p w14:paraId="42B1A12C" w14:textId="77777777" w:rsidR="00EF30E6" w:rsidRDefault="00000000">
      <w:pPr>
        <w:pStyle w:val="Heading3"/>
        <w:spacing w:line="360" w:lineRule="auto"/>
      </w:pPr>
      <w:bookmarkStart w:id="68" w:name="_lsj0eoc6q5t3" w:colFirst="0" w:colLast="0"/>
      <w:bookmarkEnd w:id="68"/>
      <w:r>
        <w:t>Quantification of macrosynteny</w:t>
      </w:r>
    </w:p>
    <w:p w14:paraId="3380EB14"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macrosynteny, we counted the number of genes that could be found on homologous chromosomes between each pair of congeneric species using custom scripts. All proteins were aligned using DIAMOND v2.0.13 </w:t>
      </w:r>
      <w:r>
        <w:fldChar w:fldCharType="begin"/>
      </w:r>
      <w:r>
        <w:instrText>HYPERLINK "https://paperpile.com/c/pirA7c/jBr5" \h</w:instrText>
      </w:r>
      <w:r>
        <w:fldChar w:fldCharType="separate"/>
      </w:r>
      <w:r>
        <w:rPr>
          <w:rFonts w:ascii="Times New Roman" w:eastAsia="Times New Roman" w:hAnsi="Times New Roman" w:cs="Times New Roman"/>
          <w:color w:val="000000"/>
        </w:rPr>
        <w:t>(Buchfink et al. 2015)</w:t>
      </w:r>
      <w:r>
        <w:fldChar w:fldCharType="end"/>
      </w:r>
      <w:r>
        <w:rPr>
          <w:rFonts w:ascii="Times New Roman" w:eastAsia="Times New Roman" w:hAnsi="Times New Roman" w:cs="Times New Roman"/>
        </w:rPr>
        <w:t xml:space="preserve">, and the resulting alignments were used to generate dot plots with the Python script “scaffold_synteny.py”. Macrosynteny was then determined using the R script “calculate_main_block_genes.R” by counting the number of genes for each scaffold that have DIAMOND matches to the most common scaffold in the other species; these genes were counted as “main” or “macrosyntenic” genes. All genes matching any other scaffold were classified as “non-macrosyntenic”. To remove genes from unassigned scaffolds, we only considered scaffolds greater than 1% of the total assembly size. All code is available at: </w:t>
      </w:r>
      <w:r>
        <w:fldChar w:fldCharType="begin"/>
      </w:r>
      <w:r>
        <w:instrText>HYPERLINK "https://github.com/PalMuc/speciation_synteny/tree/main" \h</w:instrText>
      </w:r>
      <w:r>
        <w:fldChar w:fldCharType="separate"/>
      </w:r>
      <w:r>
        <w:rPr>
          <w:rFonts w:ascii="Times New Roman" w:eastAsia="Times New Roman" w:hAnsi="Times New Roman" w:cs="Times New Roman"/>
          <w:color w:val="1155CC"/>
          <w:u w:val="single"/>
        </w:rPr>
        <w:t>https://github.com/PalMuc/congeneric_synteny/tree/main</w:t>
      </w:r>
      <w:r>
        <w:fldChar w:fldCharType="end"/>
      </w:r>
    </w:p>
    <w:p w14:paraId="72F49AA8" w14:textId="77777777" w:rsidR="00B44343" w:rsidRDefault="00B44343">
      <w:pPr>
        <w:rPr>
          <w:del w:id="69" w:author="Author" w:date="2024-12-27T12:21:00Z" w16du:dateUtc="2024-12-27T11:21:00Z"/>
        </w:rPr>
      </w:pPr>
      <w:bookmarkStart w:id="70" w:name="_g13mmabc712k" w:colFirst="0" w:colLast="0"/>
      <w:bookmarkEnd w:id="70"/>
    </w:p>
    <w:p w14:paraId="2CDE023D" w14:textId="77777777" w:rsidR="00B44343" w:rsidRDefault="00B44343">
      <w:pPr>
        <w:rPr>
          <w:del w:id="71" w:author="Author" w:date="2024-12-27T12:21:00Z" w16du:dateUtc="2024-12-27T11:21:00Z"/>
        </w:rPr>
      </w:pPr>
    </w:p>
    <w:p w14:paraId="73C72CCA" w14:textId="77777777" w:rsidR="00EF30E6" w:rsidRDefault="00000000">
      <w:pPr>
        <w:pStyle w:val="Heading2"/>
        <w:spacing w:line="360" w:lineRule="auto"/>
        <w:rPr>
          <w:rFonts w:ascii="Times New Roman" w:eastAsia="Times New Roman" w:hAnsi="Times New Roman" w:cs="Times New Roman"/>
        </w:rPr>
      </w:pPr>
      <w:r>
        <w:t>Results and Discussion</w:t>
      </w:r>
    </w:p>
    <w:p w14:paraId="3B0E2902" w14:textId="77777777" w:rsidR="00EF30E6" w:rsidRDefault="00000000">
      <w:pPr>
        <w:pStyle w:val="Heading3"/>
        <w:spacing w:line="360" w:lineRule="auto"/>
      </w:pPr>
      <w:bookmarkStart w:id="72" w:name="_rkks9n537iif" w:colFirst="0" w:colLast="0"/>
      <w:bookmarkEnd w:id="72"/>
      <w:r>
        <w:t>Microsynteny broadly correlates with protein identity across animals</w:t>
      </w:r>
    </w:p>
    <w:p w14:paraId="294813A9"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We found a loose correlation between pairwise protein identity and the number of genes in syntenic blocks, with most species pairs differing in synteny but showing relatively high sequence identity (Figure 1C). For instance, the fraction of syntenic genes in the coral genus </w:t>
      </w:r>
      <w:r>
        <w:rPr>
          <w:rFonts w:ascii="Times New Roman" w:eastAsia="Times New Roman" w:hAnsi="Times New Roman" w:cs="Times New Roman"/>
          <w:i/>
        </w:rPr>
        <w:t>Acropora</w:t>
      </w:r>
      <w:r>
        <w:rPr>
          <w:rFonts w:ascii="Times New Roman" w:eastAsia="Times New Roman" w:hAnsi="Times New Roman" w:cs="Times New Roman"/>
        </w:rPr>
        <w:t xml:space="preserve"> was 50.2%, but its average protein identity was 95.8%. The reduced synteny at high protein identity levels indicates that in many species, microsynteny is not as selectively constrained as amino acid sequence. </w:t>
      </w:r>
    </w:p>
    <w:p w14:paraId="4D26FD61" w14:textId="77777777" w:rsidR="00EF30E6" w:rsidRDefault="00EF30E6">
      <w:pPr>
        <w:spacing w:line="360" w:lineRule="auto"/>
        <w:rPr>
          <w:rFonts w:ascii="Times New Roman" w:eastAsia="Times New Roman" w:hAnsi="Times New Roman" w:cs="Times New Roman"/>
        </w:rPr>
      </w:pPr>
    </w:p>
    <w:p w14:paraId="6BD35AE9"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On the other hand, in some genera (notably, </w:t>
      </w:r>
      <w:r>
        <w:rPr>
          <w:rFonts w:ascii="Times New Roman" w:eastAsia="Times New Roman" w:hAnsi="Times New Roman" w:cs="Times New Roman"/>
          <w:i/>
        </w:rPr>
        <w:t>Drosophila melanogaster</w:t>
      </w:r>
      <w:r>
        <w:rPr>
          <w:rFonts w:ascii="Times New Roman" w:eastAsia="Times New Roman" w:hAnsi="Times New Roman" w:cs="Times New Roman"/>
        </w:rPr>
        <w:t xml:space="preserve"> against </w:t>
      </w:r>
      <w:r>
        <w:rPr>
          <w:rFonts w:ascii="Times New Roman" w:eastAsia="Times New Roman" w:hAnsi="Times New Roman" w:cs="Times New Roman"/>
          <w:i/>
        </w:rPr>
        <w:t>D. grimshawi</w:t>
      </w:r>
      <w:r>
        <w:rPr>
          <w:rFonts w:ascii="Times New Roman" w:eastAsia="Times New Roman" w:hAnsi="Times New Roman" w:cs="Times New Roman"/>
        </w:rPr>
        <w:t xml:space="preserve">) pairs show low protein identity but are relatively conserved gene order. In this case, sequence identity decreases across the genus without substantial synteny breaks, indicating that synteny may be constrained. Because insertion of new genes (duplications, (retro)transpositions) or deletions would also disrupt synteny, these processes may also be uncommon in </w:t>
      </w:r>
      <w:r>
        <w:rPr>
          <w:rFonts w:ascii="Times New Roman" w:eastAsia="Times New Roman" w:hAnsi="Times New Roman" w:cs="Times New Roman"/>
          <w:i/>
        </w:rPr>
        <w:t>Drosophila</w:t>
      </w:r>
      <w:r>
        <w:rPr>
          <w:rFonts w:ascii="Times New Roman" w:eastAsia="Times New Roman" w:hAnsi="Times New Roman" w:cs="Times New Roman"/>
        </w:rPr>
        <w:t>.</w:t>
      </w:r>
    </w:p>
    <w:p w14:paraId="26539355" w14:textId="77777777" w:rsidR="00EF30E6" w:rsidRDefault="00000000">
      <w:pPr>
        <w:spacing w:line="360" w:lineRule="auto"/>
        <w:rPr>
          <w:ins w:id="73" w:author="Author" w:date="2024-12-27T12:21:00Z" w16du:dateUtc="2024-12-27T11:21:00Z"/>
          <w:rFonts w:ascii="Times New Roman" w:eastAsia="Times New Roman" w:hAnsi="Times New Roman" w:cs="Times New Roman"/>
        </w:rPr>
      </w:pPr>
      <w:ins w:id="74" w:author="Author" w:date="2024-12-27T12:21:00Z" w16du:dateUtc="2024-12-27T11:21:00Z">
        <w:r>
          <w:rPr>
            <w:rFonts w:ascii="Times New Roman" w:eastAsia="Times New Roman" w:hAnsi="Times New Roman" w:cs="Times New Roman"/>
            <w:noProof/>
          </w:rPr>
          <w:lastRenderedPageBreak/>
          <w:drawing>
            <wp:inline distT="114300" distB="114300" distL="114300" distR="114300" wp14:anchorId="2A40B658" wp14:editId="0FA00964">
              <wp:extent cx="5316375" cy="517296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316375" cy="5172966"/>
                      </a:xfrm>
                      <a:prstGeom prst="rect">
                        <a:avLst/>
                      </a:prstGeom>
                      <a:ln/>
                    </pic:spPr>
                  </pic:pic>
                </a:graphicData>
              </a:graphic>
            </wp:inline>
          </w:drawing>
        </w:r>
      </w:ins>
    </w:p>
    <w:p w14:paraId="5C08A484" w14:textId="77777777" w:rsidR="00B44343" w:rsidRDefault="00000000">
      <w:pPr>
        <w:spacing w:line="360" w:lineRule="auto"/>
        <w:rPr>
          <w:del w:id="75" w:author="Author" w:date="2024-12-27T12:21:00Z" w16du:dateUtc="2024-12-27T11:21:00Z"/>
          <w:rFonts w:ascii="Times New Roman" w:eastAsia="Times New Roman" w:hAnsi="Times New Roman" w:cs="Times New Roman"/>
        </w:rPr>
      </w:pPr>
      <w:bookmarkStart w:id="76" w:name="_itygjw7fuih" w:colFirst="0" w:colLast="0"/>
      <w:bookmarkEnd w:id="76"/>
      <w:moveToRangeStart w:id="77" w:author="Author" w:date="2024-12-27T12:21:00Z" w:name="move186194477"/>
      <w:moveTo w:id="78" w:author="Author" w:date="2024-12-27T12:21:00Z" w16du:dateUtc="2024-12-27T11:21:00Z">
        <w:r>
          <w:rPr>
            <w:b/>
            <w:color w:val="000000"/>
            <w:sz w:val="20"/>
            <w:szCs w:val="20"/>
          </w:rPr>
          <w:t>Figure 1:</w:t>
        </w:r>
        <w:r>
          <w:rPr>
            <w:color w:val="000000"/>
            <w:sz w:val="20"/>
            <w:szCs w:val="20"/>
          </w:rPr>
          <w:t xml:space="preserve"> (A) Schematic dot plot of microsynteny. </w:t>
        </w:r>
      </w:moveTo>
      <w:moveToRangeEnd w:id="77"/>
    </w:p>
    <w:p w14:paraId="6F47F2ED" w14:textId="529C4B4C" w:rsidR="00EF30E6" w:rsidRDefault="00000000">
      <w:pPr>
        <w:pStyle w:val="Heading4"/>
        <w:rPr>
          <w:moveTo w:id="79" w:author="Author" w:date="2024-12-27T12:21:00Z" w16du:dateUtc="2024-12-27T11:21:00Z"/>
          <w:rFonts w:ascii="Times New Roman" w:hAnsi="Times New Roman"/>
          <w:rPrChange w:id="80" w:author="Author" w:date="2024-12-27T12:21:00Z" w16du:dateUtc="2024-12-27T11:21:00Z">
            <w:rPr>
              <w:moveTo w:id="81" w:author="Author" w:date="2024-12-27T12:21:00Z" w16du:dateUtc="2024-12-27T11:21:00Z"/>
              <w:color w:val="000000"/>
              <w:sz w:val="20"/>
            </w:rPr>
          </w:rPrChange>
        </w:rPr>
      </w:pPr>
      <w:ins w:id="82" w:author="Author" w:date="2024-12-27T12:21:00Z" w16du:dateUtc="2024-12-27T11:21:00Z">
        <w:r>
          <w:rPr>
            <w:color w:val="000000"/>
            <w:sz w:val="20"/>
            <w:szCs w:val="20"/>
          </w:rPr>
          <w:t>Arrows along the axes represent genes</w:t>
        </w:r>
      </w:ins>
      <w:moveToRangeStart w:id="83" w:author="Author" w:date="2024-12-27T12:21:00Z" w:name="move186194478"/>
      <w:moveTo w:id="84" w:author="Author" w:date="2024-12-27T12:21:00Z" w16du:dateUtc="2024-12-27T11:21:00Z">
        <w:r>
          <w:rPr>
            <w:color w:val="000000"/>
            <w:sz w:val="20"/>
            <w:szCs w:val="20"/>
          </w:rPr>
          <w:t xml:space="preserve">, with red genes indicating inversions in one of the two genomes. Red boxes indicate microsyntenic blocks. (B) Schematic dot plot of macrosynteny. Bars along the axes represent chromosomes and points represent positions of homologous genes between the two species. Blue points would be considered macrosyntenic, red points are microsyntenic but with a translocation, and gray points are any other hits, e.g. genes sitting on very different positions in the compared species pairs. (C) Pairwise protein sequence identity for all orthologs plotted against fraction of genes in synteny blocks. Gray (insects) and yellow-green (mammals) indicate additional comparisons between species not in the same genus. The dotted line indicates the calculated regression line from </w:t>
        </w:r>
        <w:r>
          <w:fldChar w:fldCharType="begin"/>
        </w:r>
        <w:r>
          <w:instrText>HYPERLINK "https://paperpile.com/c/pirA7c/YxaS" \h</w:instrText>
        </w:r>
        <w:r>
          <w:fldChar w:fldCharType="separate"/>
        </w:r>
        <w:r>
          <w:rPr>
            <w:color w:val="000000"/>
            <w:sz w:val="20"/>
            <w:szCs w:val="20"/>
          </w:rPr>
          <w:t>(Zdobnov and Bork 2007)</w:t>
        </w:r>
        <w:r>
          <w:fldChar w:fldCharType="end"/>
        </w:r>
        <w:r>
          <w:rPr>
            <w:color w:val="000000"/>
            <w:sz w:val="20"/>
            <w:szCs w:val="20"/>
          </w:rPr>
          <w:t xml:space="preserve"> of the same two axes. (D) Relationship between microsynteny and macrosynteny.</w:t>
        </w:r>
      </w:moveTo>
    </w:p>
    <w:p w14:paraId="363F6024" w14:textId="77777777" w:rsidR="00EF30E6" w:rsidRDefault="00EF30E6">
      <w:pPr>
        <w:spacing w:line="360" w:lineRule="auto"/>
        <w:rPr>
          <w:moveTo w:id="85" w:author="Author" w:date="2024-12-27T12:21:00Z" w16du:dateUtc="2024-12-27T11:21:00Z"/>
          <w:rFonts w:ascii="Times New Roman" w:hAnsi="Times New Roman"/>
          <w:rPrChange w:id="86" w:author="Author" w:date="2024-12-27T12:21:00Z" w16du:dateUtc="2024-12-27T11:21:00Z">
            <w:rPr>
              <w:moveTo w:id="87" w:author="Author" w:date="2024-12-27T12:21:00Z" w16du:dateUtc="2024-12-27T11:21:00Z"/>
            </w:rPr>
          </w:rPrChange>
        </w:rPr>
        <w:pPrChange w:id="88" w:author="Author" w:date="2024-12-27T12:21:00Z" w16du:dateUtc="2024-12-27T11:21:00Z">
          <w:pPr/>
        </w:pPrChange>
      </w:pPr>
    </w:p>
    <w:moveToRangeEnd w:id="83"/>
    <w:p w14:paraId="38580A16" w14:textId="77777777" w:rsidR="00EF30E6" w:rsidRDefault="00000000">
      <w:pPr>
        <w:spacing w:line="360" w:lineRule="auto"/>
        <w:rPr>
          <w:rPrChange w:id="89" w:author="Author" w:date="2024-12-27T12:21:00Z" w16du:dateUtc="2024-12-27T11:21:00Z">
            <w:rPr>
              <w:rFonts w:ascii="Times New Roman" w:hAnsi="Times New Roman"/>
            </w:rPr>
          </w:rPrChange>
        </w:rPr>
      </w:pPr>
      <w:r>
        <w:rPr>
          <w:rFonts w:ascii="Times New Roman" w:eastAsia="Times New Roman" w:hAnsi="Times New Roman" w:cs="Times New Roman"/>
        </w:rPr>
        <w:t xml:space="preserve">To compare to analyses from other studies, we added two sets of species pairs, that included species not in the same genus, one from insects (gray) and one from mammals (yellow-green) (Figure 1C). While there is not any obvious connection between insects and mammals, these additional sets showed a different pattern of protein sequence identity and microsynteny. This suggests a different genomic history, whereby two events occur: one is the overall complete loss of synteny; the other is a decreasing protein identity, such that orthologs can no longer be identified by BLAST (see </w:t>
      </w:r>
      <w:r>
        <w:rPr>
          <w:rFonts w:ascii="Times New Roman" w:eastAsia="Times New Roman" w:hAnsi="Times New Roman" w:cs="Times New Roman"/>
        </w:rPr>
        <w:lastRenderedPageBreak/>
        <w:t xml:space="preserve">Supplemental Figure 6). This may be accompanied further by an overall decrease in the total number of ortholog pairs, because our pipeline excludes recently duplicated genes. In general, this agrees with earlier findings in insects </w:t>
      </w:r>
      <w:r>
        <w:fldChar w:fldCharType="begin"/>
      </w:r>
      <w:r>
        <w:instrText>HYPERLINK "https://paperpile.com/c/pirA7c/YxaS" \h</w:instrText>
      </w:r>
      <w:r>
        <w:fldChar w:fldCharType="separate"/>
      </w:r>
      <w:r>
        <w:rPr>
          <w:rFonts w:ascii="Times New Roman" w:eastAsia="Times New Roman" w:hAnsi="Times New Roman" w:cs="Times New Roman"/>
          <w:color w:val="000000"/>
        </w:rPr>
        <w:t>(Zdobnov and Bork 2007)</w:t>
      </w:r>
      <w:r>
        <w:fldChar w:fldCharType="end"/>
      </w:r>
      <w:r>
        <w:rPr>
          <w:rFonts w:ascii="Times New Roman" w:eastAsia="Times New Roman" w:hAnsi="Times New Roman" w:cs="Times New Roman"/>
        </w:rPr>
        <w:t>, though that study was focused on insect species between orders.</w:t>
      </w:r>
    </w:p>
    <w:p w14:paraId="5101794D" w14:textId="77777777" w:rsidR="00B44343" w:rsidRDefault="00B44343">
      <w:pPr>
        <w:spacing w:line="360" w:lineRule="auto"/>
        <w:rPr>
          <w:del w:id="90" w:author="Author" w:date="2024-12-27T12:21:00Z" w16du:dateUtc="2024-12-27T11:21:00Z"/>
          <w:rFonts w:ascii="Times New Roman" w:eastAsia="Times New Roman" w:hAnsi="Times New Roman" w:cs="Times New Roman"/>
        </w:rPr>
      </w:pPr>
      <w:bookmarkStart w:id="91" w:name="_lpi3p5det0s4" w:colFirst="0" w:colLast="0"/>
      <w:bookmarkEnd w:id="91"/>
    </w:p>
    <w:p w14:paraId="40975EE2" w14:textId="77777777" w:rsidR="00B44343" w:rsidRDefault="00000000">
      <w:pPr>
        <w:spacing w:line="360" w:lineRule="auto"/>
        <w:jc w:val="center"/>
        <w:rPr>
          <w:del w:id="92" w:author="Author" w:date="2024-12-27T12:21:00Z" w16du:dateUtc="2024-12-27T11:21:00Z"/>
          <w:rFonts w:ascii="Times New Roman" w:eastAsia="Times New Roman" w:hAnsi="Times New Roman" w:cs="Times New Roman"/>
        </w:rPr>
      </w:pPr>
      <w:del w:id="93" w:author="Author" w:date="2024-12-27T12:21:00Z" w16du:dateUtc="2024-12-27T11:21:00Z">
        <w:r>
          <w:rPr>
            <w:rFonts w:ascii="Times New Roman" w:eastAsia="Times New Roman" w:hAnsi="Times New Roman" w:cs="Times New Roman"/>
            <w:noProof/>
          </w:rPr>
          <w:drawing>
            <wp:inline distT="114300" distB="114300" distL="114300" distR="114300" wp14:anchorId="0A1FCAC3" wp14:editId="00B25956">
              <wp:extent cx="4263881" cy="4152649"/>
              <wp:effectExtent l="0" t="0" r="0" b="0"/>
              <wp:docPr id="2826323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63881" cy="4152649"/>
                      </a:xfrm>
                      <a:prstGeom prst="rect">
                        <a:avLst/>
                      </a:prstGeom>
                      <a:ln/>
                    </pic:spPr>
                  </pic:pic>
                </a:graphicData>
              </a:graphic>
            </wp:inline>
          </w:drawing>
        </w:r>
      </w:del>
    </w:p>
    <w:p w14:paraId="646D2473" w14:textId="77777777" w:rsidR="00EF30E6" w:rsidRDefault="00000000">
      <w:pPr>
        <w:pStyle w:val="Heading4"/>
        <w:rPr>
          <w:moveFrom w:id="94" w:author="Author" w:date="2024-12-27T12:21:00Z" w16du:dateUtc="2024-12-27T11:21:00Z"/>
          <w:rFonts w:ascii="Times New Roman" w:hAnsi="Times New Roman"/>
          <w:rPrChange w:id="95" w:author="Author" w:date="2024-12-27T12:21:00Z" w16du:dateUtc="2024-12-27T11:21:00Z">
            <w:rPr>
              <w:moveFrom w:id="96" w:author="Author" w:date="2024-12-27T12:21:00Z" w16du:dateUtc="2024-12-27T11:21:00Z"/>
              <w:color w:val="000000"/>
              <w:sz w:val="20"/>
            </w:rPr>
          </w:rPrChange>
        </w:rPr>
      </w:pPr>
      <w:bookmarkStart w:id="97" w:name="_z9w2rnksw4kr"/>
      <w:bookmarkEnd w:id="97"/>
      <w:moveFromRangeStart w:id="98" w:author="Author" w:date="2024-12-27T12:21:00Z" w:name="move186194477"/>
      <w:moveFrom w:id="99" w:author="Author" w:date="2024-12-27T12:21:00Z" w16du:dateUtc="2024-12-27T11:21:00Z">
        <w:r>
          <w:rPr>
            <w:b/>
            <w:color w:val="000000"/>
            <w:sz w:val="20"/>
            <w:szCs w:val="20"/>
          </w:rPr>
          <w:t>Figure 1:</w:t>
        </w:r>
        <w:r>
          <w:rPr>
            <w:color w:val="000000"/>
            <w:sz w:val="20"/>
            <w:szCs w:val="20"/>
          </w:rPr>
          <w:t xml:space="preserve"> (A) Schematic dot plot of microsynteny. </w:t>
        </w:r>
      </w:moveFrom>
      <w:moveFromRangeEnd w:id="98"/>
      <w:del w:id="100" w:author="Author" w:date="2024-12-27T12:21:00Z" w16du:dateUtc="2024-12-27T11:21:00Z">
        <w:r>
          <w:rPr>
            <w:color w:val="000000"/>
            <w:sz w:val="20"/>
            <w:szCs w:val="20"/>
          </w:rPr>
          <w:delText>Arrows along the axes represent enes</w:delText>
        </w:r>
      </w:del>
      <w:moveFromRangeStart w:id="101" w:author="Author" w:date="2024-12-27T12:21:00Z" w:name="move186194478"/>
      <w:moveFrom w:id="102" w:author="Author" w:date="2024-12-27T12:21:00Z" w16du:dateUtc="2024-12-27T11:21:00Z">
        <w:r>
          <w:rPr>
            <w:color w:val="000000"/>
            <w:sz w:val="20"/>
            <w:szCs w:val="20"/>
          </w:rPr>
          <w:t xml:space="preserve">, with red genes indicating inversions in one of the two genomes. Red boxes indicate microsyntenic blocks. (B) Schematic dot plot of macrosynteny. Bars along the axes represent chromosomes and points represent positions of homologous genes between the two species. Blue points would be considered macrosyntenic, red points are microsyntenic but with a translocation, and gray points are any other hits, e.g. genes sitting on very different positions in the compared species pairs. (C) Pairwise protein sequence identity for all orthologs plotted against fraction of genes in synteny blocks. Gray (insects) and yellow-green (mammals) indicate additional comparisons between species not in the same genus. The dotted line indicates the calculated regression line from </w:t>
        </w:r>
        <w:r>
          <w:fldChar w:fldCharType="begin"/>
        </w:r>
        <w:r>
          <w:instrText>HYPERLINK "https://paperpile.com/c/pirA7c/YxaS" \h</w:instrText>
        </w:r>
        <w:r>
          <w:fldChar w:fldCharType="separate"/>
        </w:r>
        <w:r>
          <w:rPr>
            <w:color w:val="000000"/>
            <w:sz w:val="20"/>
            <w:szCs w:val="20"/>
          </w:rPr>
          <w:t>(Zdobnov and Bork 2007)</w:t>
        </w:r>
        <w:r>
          <w:fldChar w:fldCharType="end"/>
        </w:r>
        <w:r>
          <w:rPr>
            <w:color w:val="000000"/>
            <w:sz w:val="20"/>
            <w:szCs w:val="20"/>
          </w:rPr>
          <w:t xml:space="preserve"> of the same two axes. (D) Relationship between microsynteny and macrosynteny.</w:t>
        </w:r>
      </w:moveFrom>
    </w:p>
    <w:p w14:paraId="4A1C4D48" w14:textId="77777777" w:rsidR="00EF30E6" w:rsidRDefault="00EF30E6">
      <w:pPr>
        <w:spacing w:line="360" w:lineRule="auto"/>
        <w:rPr>
          <w:moveFrom w:id="103" w:author="Author" w:date="2024-12-27T12:21:00Z" w16du:dateUtc="2024-12-27T11:21:00Z"/>
          <w:rFonts w:ascii="Times New Roman" w:hAnsi="Times New Roman"/>
          <w:rPrChange w:id="104" w:author="Author" w:date="2024-12-27T12:21:00Z" w16du:dateUtc="2024-12-27T11:21:00Z">
            <w:rPr>
              <w:moveFrom w:id="105" w:author="Author" w:date="2024-12-27T12:21:00Z" w16du:dateUtc="2024-12-27T11:21:00Z"/>
            </w:rPr>
          </w:rPrChange>
        </w:rPr>
        <w:pPrChange w:id="106" w:author="Author" w:date="2024-12-27T12:21:00Z" w16du:dateUtc="2024-12-27T11:21:00Z">
          <w:pPr/>
        </w:pPrChange>
      </w:pPr>
    </w:p>
    <w:moveFromRangeEnd w:id="101"/>
    <w:p w14:paraId="2487D2FF" w14:textId="3ACDA683" w:rsidR="00EF30E6" w:rsidRDefault="00000000">
      <w:pPr>
        <w:pStyle w:val="Heading3"/>
        <w:spacing w:line="360" w:lineRule="auto"/>
        <w:rPr>
          <w:rFonts w:ascii="Times New Roman" w:eastAsia="Times New Roman" w:hAnsi="Times New Roman" w:cs="Times New Roman"/>
        </w:rPr>
      </w:pPr>
      <w:r>
        <w:t>Microsynteny changes more frequently than macrosynteny</w:t>
      </w:r>
    </w:p>
    <w:p w14:paraId="09B654C9"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Given that many inversions (of three or more genes) do not disrupt microsynteny, many inverted blocks would still be detected as syntenic, and the slow accumulation of inversions would not change the fraction of genes in blocks or affect the overall microsynteny estimates. Translocations, however, can change macrosynteny but not microsynteny, as genes move as a block to a different chromosome. </w:t>
      </w:r>
      <w:r>
        <w:rPr>
          <w:rFonts w:ascii="Times New Roman" w:eastAsia="Times New Roman" w:hAnsi="Times New Roman" w:cs="Times New Roman"/>
        </w:rPr>
        <w:lastRenderedPageBreak/>
        <w:t xml:space="preserve">We examined this for each congeneric species pair as a function of the number of genes on homologous chromosomes in both species compared to the number of translocated genes or inserted novel genes. </w:t>
      </w:r>
    </w:p>
    <w:p w14:paraId="32DF55D2" w14:textId="77777777" w:rsidR="00EF30E6" w:rsidRDefault="00EF30E6">
      <w:pPr>
        <w:spacing w:line="360" w:lineRule="auto"/>
        <w:rPr>
          <w:rFonts w:ascii="Times New Roman" w:eastAsia="Times New Roman" w:hAnsi="Times New Roman" w:cs="Times New Roman"/>
        </w:rPr>
      </w:pPr>
    </w:p>
    <w:p w14:paraId="3CEC38F9" w14:textId="1BE14E56"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Like the relationship with protein identity, we found that </w:t>
      </w:r>
      <w:del w:id="107" w:author="Author" w:date="2024-12-27T12:21:00Z" w16du:dateUtc="2024-12-27T11:21:00Z">
        <w:r>
          <w:rPr>
            <w:rFonts w:ascii="Times New Roman" w:eastAsia="Times New Roman" w:hAnsi="Times New Roman" w:cs="Times New Roman"/>
          </w:rPr>
          <w:delText xml:space="preserve">both </w:delText>
        </w:r>
      </w:del>
      <w:r>
        <w:rPr>
          <w:rFonts w:ascii="Times New Roman" w:eastAsia="Times New Roman" w:hAnsi="Times New Roman" w:cs="Times New Roman"/>
        </w:rPr>
        <w:t xml:space="preserve">macrosynteny and microsynteny </w:t>
      </w:r>
      <w:del w:id="108" w:author="Author" w:date="2024-12-27T12:21:00Z" w16du:dateUtc="2024-12-27T11:21:00Z">
        <w:r>
          <w:rPr>
            <w:rFonts w:ascii="Times New Roman" w:eastAsia="Times New Roman" w:hAnsi="Times New Roman" w:cs="Times New Roman"/>
          </w:rPr>
          <w:delText>together</w:delText>
        </w:r>
      </w:del>
      <w:ins w:id="109" w:author="Author" w:date="2024-12-27T12:21:00Z" w16du:dateUtc="2024-12-27T11:21:00Z">
        <w:r>
          <w:rPr>
            <w:rFonts w:ascii="Times New Roman" w:eastAsia="Times New Roman" w:hAnsi="Times New Roman" w:cs="Times New Roman"/>
          </w:rPr>
          <w:t>broadly</w:t>
        </w:r>
      </w:ins>
      <w:r>
        <w:rPr>
          <w:rFonts w:ascii="Times New Roman" w:eastAsia="Times New Roman" w:hAnsi="Times New Roman" w:cs="Times New Roman"/>
        </w:rPr>
        <w:t xml:space="preserve"> tend to </w:t>
      </w:r>
      <w:del w:id="110" w:author="Author" w:date="2024-12-27T12:21:00Z" w16du:dateUtc="2024-12-27T11:21:00Z">
        <w:r>
          <w:rPr>
            <w:rFonts w:ascii="Times New Roman" w:eastAsia="Times New Roman" w:hAnsi="Times New Roman" w:cs="Times New Roman"/>
          </w:rPr>
          <w:delText>decrease with speciation</w:delText>
        </w:r>
      </w:del>
      <w:ins w:id="111" w:author="Author" w:date="2024-12-27T12:21:00Z" w16du:dateUtc="2024-12-27T11:21:00Z">
        <w:r>
          <w:rPr>
            <w:rFonts w:ascii="Times New Roman" w:eastAsia="Times New Roman" w:hAnsi="Times New Roman" w:cs="Times New Roman"/>
          </w:rPr>
          <w:t>correlate together,</w:t>
        </w:r>
      </w:ins>
      <w:r>
        <w:rPr>
          <w:rFonts w:ascii="Times New Roman" w:eastAsia="Times New Roman" w:hAnsi="Times New Roman" w:cs="Times New Roman"/>
        </w:rPr>
        <w:t xml:space="preserve"> (Figure 1D), but can be decoupled in many species pairs. In most species pairs (other than the mammal set) microsynteny appears to be less constrained than macrosynteny. For instance, although microsynteny is almost absent in the insects analysed, macrosynteny remains broadly detectable in these organisms. Mammals, however, display a different pattern of chromosomal evolution, with several species pairs showing chromosomal rearrangements while preserving their microsynteny.</w:t>
      </w:r>
    </w:p>
    <w:p w14:paraId="4D528092" w14:textId="77777777" w:rsidR="00EF30E6" w:rsidRDefault="00EF30E6">
      <w:pPr>
        <w:spacing w:line="360" w:lineRule="auto"/>
        <w:rPr>
          <w:rFonts w:ascii="Times New Roman" w:eastAsia="Times New Roman" w:hAnsi="Times New Roman" w:cs="Times New Roman"/>
        </w:rPr>
      </w:pPr>
    </w:p>
    <w:p w14:paraId="711B5241" w14:textId="08FAD591"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While there are examples of changes in karyotype between species (such as the fusion resulting in Chr 2 in humans </w:t>
      </w:r>
      <w:r>
        <w:fldChar w:fldCharType="begin"/>
      </w:r>
      <w:r>
        <w:instrText>HYPERLINK "https://paperpile.com/c/pirA7c/Di7E" \h</w:instrText>
      </w:r>
      <w:r>
        <w:fldChar w:fldCharType="separate"/>
      </w:r>
      <w:r>
        <w:rPr>
          <w:rFonts w:ascii="Times New Roman" w:eastAsia="Times New Roman" w:hAnsi="Times New Roman" w:cs="Times New Roman"/>
          <w:color w:val="000000"/>
        </w:rPr>
        <w:t>(Yunis and Prakash 1982)</w:t>
      </w:r>
      <w:r>
        <w:fldChar w:fldCharType="end"/>
      </w:r>
      <w:r>
        <w:rPr>
          <w:rFonts w:ascii="Times New Roman" w:eastAsia="Times New Roman" w:hAnsi="Times New Roman" w:cs="Times New Roman"/>
        </w:rPr>
        <w:t xml:space="preserve">), only a few of the species in our study had obvious karyotype differences. Macrosynteny is relatively conserved among </w:t>
      </w:r>
      <w:r>
        <w:rPr>
          <w:rFonts w:ascii="Times New Roman" w:eastAsia="Times New Roman" w:hAnsi="Times New Roman" w:cs="Times New Roman"/>
          <w:i/>
        </w:rPr>
        <w:t>Drosophila</w:t>
      </w:r>
      <w:r>
        <w:rPr>
          <w:rFonts w:ascii="Times New Roman" w:eastAsia="Times New Roman" w:hAnsi="Times New Roman" w:cs="Times New Roman"/>
        </w:rPr>
        <w:t xml:space="preserve"> species with very conserved microsynteny and relatively low protein sequence identity. Between </w:t>
      </w:r>
      <w:r>
        <w:rPr>
          <w:rFonts w:ascii="Times New Roman" w:eastAsia="Times New Roman" w:hAnsi="Times New Roman" w:cs="Times New Roman"/>
          <w:i/>
        </w:rPr>
        <w:t>D. melanogaster</w:t>
      </w:r>
      <w:r>
        <w:rPr>
          <w:rFonts w:ascii="Times New Roman" w:eastAsia="Times New Roman" w:hAnsi="Times New Roman" w:cs="Times New Roman"/>
        </w:rPr>
        <w:t xml:space="preserve"> and </w:t>
      </w:r>
      <w:r>
        <w:rPr>
          <w:rFonts w:ascii="Times New Roman" w:eastAsia="Times New Roman" w:hAnsi="Times New Roman" w:cs="Times New Roman"/>
          <w:i/>
        </w:rPr>
        <w:t>D. erecta</w:t>
      </w:r>
      <w:r>
        <w:rPr>
          <w:rFonts w:ascii="Times New Roman" w:eastAsia="Times New Roman" w:hAnsi="Times New Roman" w:cs="Times New Roman"/>
        </w:rPr>
        <w:t xml:space="preserve"> (the closest pair in our study), only one translocation is evident in the genome (Figure 2A). In </w:t>
      </w:r>
      <w:r>
        <w:rPr>
          <w:rFonts w:ascii="Times New Roman" w:eastAsia="Times New Roman" w:hAnsi="Times New Roman" w:cs="Times New Roman"/>
          <w:i/>
        </w:rPr>
        <w:t>Octopus</w:t>
      </w:r>
      <w:r>
        <w:rPr>
          <w:rFonts w:ascii="Times New Roman" w:eastAsia="Times New Roman" w:hAnsi="Times New Roman" w:cs="Times New Roman"/>
        </w:rPr>
        <w:t xml:space="preserve">, which possesses the largest invertebrate genome in our study, the karyotype appears to be the same between the two species analysed, but with frequent small inversions in most chromosomes (Figure 2B). Gene arrangement in </w:t>
      </w:r>
      <w:r>
        <w:rPr>
          <w:rFonts w:ascii="Times New Roman" w:eastAsia="Times New Roman" w:hAnsi="Times New Roman" w:cs="Times New Roman"/>
          <w:i/>
        </w:rPr>
        <w:t xml:space="preserve">Octopus </w:t>
      </w:r>
      <w:r>
        <w:rPr>
          <w:rFonts w:ascii="Times New Roman" w:eastAsia="Times New Roman" w:hAnsi="Times New Roman" w:cs="Times New Roman"/>
        </w:rPr>
        <w:t xml:space="preserve">is known to be variable, such as the rearrangement of the Hox cluster </w:t>
      </w:r>
      <w:r>
        <w:fldChar w:fldCharType="begin"/>
      </w:r>
      <w:r>
        <w:instrText>HYPERLINK "https://paperpile.com/c/pirA7c/oCBK" \h</w:instrText>
      </w:r>
      <w:r>
        <w:fldChar w:fldCharType="separate"/>
      </w:r>
      <w:r>
        <w:rPr>
          <w:rFonts w:ascii="Times New Roman" w:eastAsia="Times New Roman" w:hAnsi="Times New Roman" w:cs="Times New Roman"/>
          <w:color w:val="000000"/>
        </w:rPr>
        <w:t>(Albertin et al. 2015)</w:t>
      </w:r>
      <w:r>
        <w:fldChar w:fldCharType="end"/>
      </w:r>
      <w:r>
        <w:rPr>
          <w:rFonts w:ascii="Times New Roman" w:eastAsia="Times New Roman" w:hAnsi="Times New Roman" w:cs="Times New Roman"/>
        </w:rPr>
        <w:t xml:space="preserve">. Other species have karyotype variations. The water flea </w:t>
      </w:r>
      <w:r>
        <w:rPr>
          <w:rFonts w:ascii="Times New Roman" w:eastAsia="Times New Roman" w:hAnsi="Times New Roman" w:cs="Times New Roman"/>
          <w:i/>
        </w:rPr>
        <w:t>Daphnia pulex</w:t>
      </w:r>
      <w:r>
        <w:rPr>
          <w:rFonts w:ascii="Times New Roman" w:eastAsia="Times New Roman" w:hAnsi="Times New Roman" w:cs="Times New Roman"/>
        </w:rPr>
        <w:t xml:space="preserve"> has 12 chromosomes, while </w:t>
      </w:r>
      <w:r>
        <w:rPr>
          <w:rFonts w:ascii="Times New Roman" w:eastAsia="Times New Roman" w:hAnsi="Times New Roman" w:cs="Times New Roman"/>
          <w:i/>
        </w:rPr>
        <w:t>D. magna</w:t>
      </w:r>
      <w:r>
        <w:rPr>
          <w:rFonts w:ascii="Times New Roman" w:eastAsia="Times New Roman" w:hAnsi="Times New Roman" w:cs="Times New Roman"/>
        </w:rPr>
        <w:t xml:space="preserve"> has only ten. These </w:t>
      </w:r>
      <w:r>
        <w:rPr>
          <w:rFonts w:ascii="Times New Roman" w:eastAsia="Times New Roman" w:hAnsi="Times New Roman" w:cs="Times New Roman"/>
          <w:i/>
        </w:rPr>
        <w:t>Daphnia</w:t>
      </w:r>
      <w:r>
        <w:rPr>
          <w:rFonts w:ascii="Times New Roman" w:eastAsia="Times New Roman" w:hAnsi="Times New Roman" w:cs="Times New Roman"/>
        </w:rPr>
        <w:t xml:space="preserve"> species show conserved macrosynteny but rapidly decaying microsynteny (Figure 2C). Also, the karyotype change in </w:t>
      </w:r>
      <w:r>
        <w:rPr>
          <w:rFonts w:ascii="Times New Roman" w:eastAsia="Times New Roman" w:hAnsi="Times New Roman" w:cs="Times New Roman"/>
          <w:i/>
        </w:rPr>
        <w:t>Daphnia</w:t>
      </w:r>
      <w:r>
        <w:rPr>
          <w:rFonts w:ascii="Times New Roman" w:eastAsia="Times New Roman" w:hAnsi="Times New Roman" w:cs="Times New Roman"/>
        </w:rPr>
        <w:t xml:space="preserve"> appears to have been caused by recent Robertsonian fusion </w:t>
      </w:r>
      <w:ins w:id="112" w:author="Author" w:date="2024-12-27T12:21:00Z" w16du:dateUtc="2024-12-27T11:21:00Z">
        <w:r>
          <w:rPr>
            <w:rFonts w:ascii="Times New Roman" w:eastAsia="Times New Roman" w:hAnsi="Times New Roman" w:cs="Times New Roman"/>
          </w:rPr>
          <w:t xml:space="preserve">or fission </w:t>
        </w:r>
      </w:ins>
      <w:r>
        <w:rPr>
          <w:rFonts w:ascii="Times New Roman" w:eastAsia="Times New Roman" w:hAnsi="Times New Roman" w:cs="Times New Roman"/>
        </w:rPr>
        <w:t xml:space="preserve">events in </w:t>
      </w:r>
      <w:del w:id="113" w:author="Author" w:date="2024-12-27T12:21:00Z" w16du:dateUtc="2024-12-27T11:21:00Z">
        <w:r>
          <w:rPr>
            <w:rFonts w:ascii="Times New Roman" w:eastAsia="Times New Roman" w:hAnsi="Times New Roman" w:cs="Times New Roman"/>
            <w:i/>
          </w:rPr>
          <w:delText>D. magna</w:delText>
        </w:r>
        <w:r>
          <w:rPr>
            <w:rFonts w:ascii="Times New Roman" w:eastAsia="Times New Roman" w:hAnsi="Times New Roman" w:cs="Times New Roman"/>
          </w:rPr>
          <w:delText>, as signs</w:delText>
        </w:r>
      </w:del>
      <w:ins w:id="114" w:author="Author" w:date="2024-12-27T12:21:00Z" w16du:dateUtc="2024-12-27T11:21:00Z">
        <w:r>
          <w:rPr>
            <w:rFonts w:ascii="Times New Roman" w:eastAsia="Times New Roman" w:hAnsi="Times New Roman" w:cs="Times New Roman"/>
          </w:rPr>
          <w:t>one</w:t>
        </w:r>
      </w:ins>
      <w:r>
        <w:rPr>
          <w:rFonts w:ascii="Times New Roman" w:eastAsia="Times New Roman" w:hAnsi="Times New Roman" w:cs="Times New Roman"/>
        </w:rPr>
        <w:t xml:space="preserve"> of </w:t>
      </w:r>
      <w:del w:id="115" w:author="Author" w:date="2024-12-27T12:21:00Z" w16du:dateUtc="2024-12-27T11:21:00Z">
        <w:r>
          <w:rPr>
            <w:rFonts w:ascii="Times New Roman" w:eastAsia="Times New Roman" w:hAnsi="Times New Roman" w:cs="Times New Roman"/>
          </w:rPr>
          <w:delText>mixing after fusion were detected.</w:delText>
        </w:r>
      </w:del>
      <w:ins w:id="116" w:author="Author" w:date="2024-12-27T12:21:00Z" w16du:dateUtc="2024-12-27T11:21:00Z">
        <w:r>
          <w:rPr>
            <w:rFonts w:ascii="Times New Roman" w:eastAsia="Times New Roman" w:hAnsi="Times New Roman" w:cs="Times New Roman"/>
          </w:rPr>
          <w:t>the species.</w:t>
        </w:r>
      </w:ins>
      <w:r>
        <w:rPr>
          <w:rFonts w:ascii="Times New Roman" w:eastAsia="Times New Roman" w:hAnsi="Times New Roman" w:cs="Times New Roman"/>
        </w:rPr>
        <w:t xml:space="preserve"> For </w:t>
      </w:r>
      <w:del w:id="117" w:author="Author" w:date="2024-12-27T12:21:00Z" w16du:dateUtc="2024-12-27T11:21:00Z">
        <w:r>
          <w:rPr>
            <w:rFonts w:ascii="Times New Roman" w:eastAsia="Times New Roman" w:hAnsi="Times New Roman" w:cs="Times New Roman"/>
            <w:i/>
          </w:rPr>
          <w:delText>Crassostea</w:delText>
        </w:r>
      </w:del>
      <w:ins w:id="118" w:author="Author" w:date="2024-12-27T12:21:00Z" w16du:dateUtc="2024-12-27T11:21:00Z">
        <w:r>
          <w:rPr>
            <w:rFonts w:ascii="Times New Roman" w:eastAsia="Times New Roman" w:hAnsi="Times New Roman" w:cs="Times New Roman"/>
            <w:i/>
          </w:rPr>
          <w:t>Crassostrea</w:t>
        </w:r>
      </w:ins>
      <w:r>
        <w:rPr>
          <w:rFonts w:ascii="Times New Roman" w:eastAsia="Times New Roman" w:hAnsi="Times New Roman" w:cs="Times New Roman"/>
        </w:rPr>
        <w:t xml:space="preserve"> (oysters), </w:t>
      </w:r>
      <w:del w:id="119" w:author="Author" w:date="2024-12-27T12:21:00Z" w16du:dateUtc="2024-12-27T11:21:00Z">
        <w:r>
          <w:rPr>
            <w:rFonts w:ascii="Times New Roman" w:eastAsia="Times New Roman" w:hAnsi="Times New Roman" w:cs="Times New Roman"/>
          </w:rPr>
          <w:delText>a</w:delText>
        </w:r>
      </w:del>
      <w:ins w:id="120" w:author="Author" w:date="2024-12-27T12:21:00Z" w16du:dateUtc="2024-12-27T11:21:00Z">
        <w:r>
          <w:rPr>
            <w:rFonts w:ascii="Times New Roman" w:eastAsia="Times New Roman" w:hAnsi="Times New Roman" w:cs="Times New Roman"/>
          </w:rPr>
          <w:t>two opposite</w:t>
        </w:r>
      </w:ins>
      <w:r>
        <w:rPr>
          <w:rFonts w:ascii="Times New Roman" w:eastAsia="Times New Roman" w:hAnsi="Times New Roman" w:cs="Times New Roman"/>
        </w:rPr>
        <w:t xml:space="preserve"> chromosomal fusion</w:t>
      </w:r>
      <w:del w:id="121" w:author="Author" w:date="2024-12-27T12:21:00Z" w16du:dateUtc="2024-12-27T11:21:00Z">
        <w:r>
          <w:rPr>
            <w:rFonts w:ascii="Times New Roman" w:eastAsia="Times New Roman" w:hAnsi="Times New Roman" w:cs="Times New Roman"/>
          </w:rPr>
          <w:delText xml:space="preserve"> and a split</w:delText>
        </w:r>
      </w:del>
      <w:ins w:id="122" w:author="Author" w:date="2024-12-27T12:21:00Z" w16du:dateUtc="2024-12-27T11:21:00Z">
        <w:r>
          <w:rPr>
            <w:rFonts w:ascii="Times New Roman" w:eastAsia="Times New Roman" w:hAnsi="Times New Roman" w:cs="Times New Roman"/>
          </w:rPr>
          <w:t>/fission events</w:t>
        </w:r>
      </w:ins>
      <w:r>
        <w:rPr>
          <w:rFonts w:ascii="Times New Roman" w:eastAsia="Times New Roman" w:hAnsi="Times New Roman" w:cs="Times New Roman"/>
        </w:rPr>
        <w:t xml:space="preserve"> were evident (Figure 2D), </w:t>
      </w:r>
      <w:del w:id="123" w:author="Author" w:date="2024-12-27T12:21:00Z" w16du:dateUtc="2024-12-27T11:21:00Z">
        <w:r>
          <w:rPr>
            <w:rFonts w:ascii="Times New Roman" w:eastAsia="Times New Roman" w:hAnsi="Times New Roman" w:cs="Times New Roman"/>
          </w:rPr>
          <w:delText xml:space="preserve">despite their similar karyotype. </w:delText>
        </w:r>
      </w:del>
      <w:ins w:id="124" w:author="Author" w:date="2024-12-27T12:21:00Z" w16du:dateUtc="2024-12-27T11:21:00Z">
        <w:r>
          <w:rPr>
            <w:rFonts w:ascii="Times New Roman" w:eastAsia="Times New Roman" w:hAnsi="Times New Roman" w:cs="Times New Roman"/>
          </w:rPr>
          <w:t>producing the same number of chromosomes in the two species.</w:t>
        </w:r>
      </w:ins>
    </w:p>
    <w:p w14:paraId="19DFE449" w14:textId="77777777" w:rsidR="00B44343" w:rsidRDefault="00B44343">
      <w:pPr>
        <w:spacing w:line="360" w:lineRule="auto"/>
        <w:rPr>
          <w:del w:id="125" w:author="Author" w:date="2024-12-27T12:21:00Z" w16du:dateUtc="2024-12-27T11:21:00Z"/>
          <w:rFonts w:ascii="Times New Roman" w:eastAsia="Times New Roman" w:hAnsi="Times New Roman" w:cs="Times New Roman"/>
        </w:rPr>
      </w:pPr>
      <w:bookmarkStart w:id="126" w:name="_bak2kxqynyve" w:colFirst="0" w:colLast="0"/>
      <w:bookmarkEnd w:id="126"/>
    </w:p>
    <w:p w14:paraId="3D45785F" w14:textId="77777777" w:rsidR="00B44343" w:rsidRDefault="00B44343">
      <w:pPr>
        <w:spacing w:line="360" w:lineRule="auto"/>
        <w:rPr>
          <w:del w:id="127" w:author="Author" w:date="2024-12-27T12:21:00Z" w16du:dateUtc="2024-12-27T11:21:00Z"/>
          <w:rFonts w:ascii="Times New Roman" w:eastAsia="Times New Roman" w:hAnsi="Times New Roman" w:cs="Times New Roman"/>
        </w:rPr>
      </w:pPr>
    </w:p>
    <w:p w14:paraId="2D27A2AA" w14:textId="77777777" w:rsidR="00B44343" w:rsidRDefault="00B44343">
      <w:pPr>
        <w:spacing w:line="360" w:lineRule="auto"/>
        <w:rPr>
          <w:del w:id="128" w:author="Author" w:date="2024-12-27T12:21:00Z" w16du:dateUtc="2024-12-27T11:21:00Z"/>
          <w:rFonts w:ascii="Times New Roman" w:eastAsia="Times New Roman" w:hAnsi="Times New Roman" w:cs="Times New Roman"/>
        </w:rPr>
      </w:pPr>
    </w:p>
    <w:p w14:paraId="6498188A" w14:textId="77777777" w:rsidR="00B44343" w:rsidRDefault="00000000">
      <w:pPr>
        <w:pStyle w:val="Heading2"/>
        <w:spacing w:line="360" w:lineRule="auto"/>
        <w:ind w:left="-720"/>
        <w:rPr>
          <w:del w:id="129" w:author="Author" w:date="2024-12-27T12:21:00Z" w16du:dateUtc="2024-12-27T11:21:00Z"/>
        </w:rPr>
      </w:pPr>
      <w:del w:id="130" w:author="Author" w:date="2024-12-27T12:21:00Z" w16du:dateUtc="2024-12-27T11:21:00Z">
        <w:r>
          <w:rPr>
            <w:noProof/>
          </w:rPr>
          <w:lastRenderedPageBreak/>
          <w:drawing>
            <wp:inline distT="114300" distB="114300" distL="114300" distR="114300" wp14:anchorId="39F25C98" wp14:editId="21D713BB">
              <wp:extent cx="6510338" cy="6510338"/>
              <wp:effectExtent l="0" t="0" r="0" b="0"/>
              <wp:docPr id="16119893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10338" cy="6510338"/>
                      </a:xfrm>
                      <a:prstGeom prst="rect">
                        <a:avLst/>
                      </a:prstGeom>
                      <a:ln/>
                    </pic:spPr>
                  </pic:pic>
                </a:graphicData>
              </a:graphic>
            </wp:inline>
          </w:drawing>
        </w:r>
      </w:del>
    </w:p>
    <w:p w14:paraId="402F7310" w14:textId="77777777" w:rsidR="00EF30E6" w:rsidRDefault="00000000">
      <w:pPr>
        <w:pStyle w:val="Heading2"/>
        <w:spacing w:line="360" w:lineRule="auto"/>
        <w:ind w:left="-720"/>
        <w:rPr>
          <w:ins w:id="131" w:author="Author" w:date="2024-12-27T12:21:00Z" w16du:dateUtc="2024-12-27T11:21:00Z"/>
        </w:rPr>
      </w:pPr>
      <w:ins w:id="132" w:author="Author" w:date="2024-12-27T12:21:00Z" w16du:dateUtc="2024-12-27T11:21:00Z">
        <w:r>
          <w:rPr>
            <w:noProof/>
          </w:rPr>
          <w:lastRenderedPageBreak/>
          <w:drawing>
            <wp:inline distT="114300" distB="114300" distL="114300" distR="114300" wp14:anchorId="0994F662" wp14:editId="32BCB1CB">
              <wp:extent cx="6510338" cy="65103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510338" cy="6510338"/>
                      </a:xfrm>
                      <a:prstGeom prst="rect">
                        <a:avLst/>
                      </a:prstGeom>
                      <a:ln/>
                    </pic:spPr>
                  </pic:pic>
                </a:graphicData>
              </a:graphic>
            </wp:inline>
          </w:drawing>
        </w:r>
      </w:ins>
    </w:p>
    <w:p w14:paraId="775DF26B" w14:textId="0BFDB0EC" w:rsidR="00EF30E6" w:rsidRDefault="00000000">
      <w:pPr>
        <w:pStyle w:val="Heading4"/>
        <w:rPr>
          <w:color w:val="000000"/>
          <w:sz w:val="20"/>
          <w:szCs w:val="20"/>
        </w:rPr>
      </w:pPr>
      <w:bookmarkStart w:id="133" w:name="_70c9dq5hmtei" w:colFirst="0" w:colLast="0"/>
      <w:bookmarkEnd w:id="133"/>
      <w:r>
        <w:rPr>
          <w:b/>
          <w:color w:val="000000"/>
          <w:sz w:val="20"/>
          <w:szCs w:val="20"/>
        </w:rPr>
        <w:t>Figure 2:</w:t>
      </w:r>
      <w:r>
        <w:rPr>
          <w:color w:val="000000"/>
          <w:sz w:val="20"/>
          <w:szCs w:val="20"/>
        </w:rPr>
        <w:t xml:space="preserve"> Example dotplots between congeneric species, showing a range of karyotypic states. All axes indicate positions in the genome in megabases. (A) </w:t>
      </w:r>
      <w:r>
        <w:rPr>
          <w:i/>
          <w:color w:val="000000"/>
          <w:sz w:val="20"/>
          <w:szCs w:val="20"/>
        </w:rPr>
        <w:t>Drosophila</w:t>
      </w:r>
      <w:r>
        <w:rPr>
          <w:color w:val="000000"/>
          <w:sz w:val="20"/>
          <w:szCs w:val="20"/>
        </w:rPr>
        <w:t xml:space="preserve">, showing two translocations/splits in blue boxes, one of which is unassigned to a chromosome in the assembly. (B) </w:t>
      </w:r>
      <w:r>
        <w:rPr>
          <w:i/>
          <w:color w:val="000000"/>
          <w:sz w:val="20"/>
          <w:szCs w:val="20"/>
        </w:rPr>
        <w:t>Octopus</w:t>
      </w:r>
      <w:r>
        <w:rPr>
          <w:color w:val="000000"/>
          <w:sz w:val="20"/>
          <w:szCs w:val="20"/>
        </w:rPr>
        <w:t xml:space="preserve">, with no obvious translocations but many small inversions. (C) </w:t>
      </w:r>
      <w:r>
        <w:rPr>
          <w:i/>
          <w:color w:val="000000"/>
          <w:sz w:val="20"/>
          <w:szCs w:val="20"/>
        </w:rPr>
        <w:t>Daphnia</w:t>
      </w:r>
      <w:r>
        <w:rPr>
          <w:color w:val="000000"/>
          <w:sz w:val="20"/>
          <w:szCs w:val="20"/>
        </w:rPr>
        <w:t>, red boxes indicate two chromosomal fusions</w:t>
      </w:r>
      <w:ins w:id="134" w:author="Author" w:date="2024-12-27T12:21:00Z" w16du:dateUtc="2024-12-27T11:21:00Z">
        <w:r>
          <w:rPr>
            <w:color w:val="000000"/>
            <w:sz w:val="20"/>
            <w:szCs w:val="20"/>
          </w:rPr>
          <w:t>/fissions</w:t>
        </w:r>
      </w:ins>
      <w:r>
        <w:rPr>
          <w:color w:val="000000"/>
          <w:sz w:val="20"/>
          <w:szCs w:val="20"/>
        </w:rPr>
        <w:t xml:space="preserve"> with mixing in </w:t>
      </w:r>
      <w:r>
        <w:rPr>
          <w:i/>
          <w:color w:val="000000"/>
          <w:sz w:val="20"/>
          <w:szCs w:val="20"/>
        </w:rPr>
        <w:t>D. magna</w:t>
      </w:r>
      <w:r>
        <w:rPr>
          <w:color w:val="000000"/>
          <w:sz w:val="20"/>
          <w:szCs w:val="20"/>
        </w:rPr>
        <w:t xml:space="preserve">. (D) </w:t>
      </w:r>
      <w:r>
        <w:rPr>
          <w:i/>
          <w:color w:val="000000"/>
          <w:sz w:val="20"/>
          <w:szCs w:val="20"/>
        </w:rPr>
        <w:t>Crassostrea</w:t>
      </w:r>
      <w:r>
        <w:rPr>
          <w:color w:val="000000"/>
          <w:sz w:val="20"/>
          <w:szCs w:val="20"/>
        </w:rPr>
        <w:t xml:space="preserve">, with </w:t>
      </w:r>
      <w:del w:id="135" w:author="Author" w:date="2024-12-27T12:21:00Z" w16du:dateUtc="2024-12-27T11:21:00Z">
        <w:r>
          <w:rPr>
            <w:color w:val="000000"/>
            <w:sz w:val="20"/>
            <w:szCs w:val="20"/>
          </w:rPr>
          <w:delText>an</w:delText>
        </w:r>
      </w:del>
      <w:ins w:id="136" w:author="Author" w:date="2024-12-27T12:21:00Z" w16du:dateUtc="2024-12-27T11:21:00Z">
        <w:r>
          <w:rPr>
            <w:color w:val="000000"/>
            <w:sz w:val="20"/>
            <w:szCs w:val="20"/>
          </w:rPr>
          <w:t>two</w:t>
        </w:r>
      </w:ins>
      <w:r>
        <w:rPr>
          <w:color w:val="000000"/>
          <w:sz w:val="20"/>
          <w:szCs w:val="20"/>
        </w:rPr>
        <w:t xml:space="preserve"> evident chromosomal </w:t>
      </w:r>
      <w:del w:id="137" w:author="Author" w:date="2024-12-27T12:21:00Z" w16du:dateUtc="2024-12-27T11:21:00Z">
        <w:r>
          <w:rPr>
            <w:color w:val="000000"/>
            <w:sz w:val="20"/>
            <w:szCs w:val="20"/>
          </w:rPr>
          <w:delText>fusion</w:delText>
        </w:r>
      </w:del>
      <w:ins w:id="138" w:author="Author" w:date="2024-12-27T12:21:00Z" w16du:dateUtc="2024-12-27T11:21:00Z">
        <w:r>
          <w:rPr>
            <w:color w:val="000000"/>
            <w:sz w:val="20"/>
            <w:szCs w:val="20"/>
          </w:rPr>
          <w:t>fusions/fissions</w:t>
        </w:r>
      </w:ins>
      <w:r>
        <w:rPr>
          <w:color w:val="000000"/>
          <w:sz w:val="20"/>
          <w:szCs w:val="20"/>
        </w:rPr>
        <w:t xml:space="preserve"> and split between the two species, as red and blue boxes, respectively. See online repository data for higher resolution versions of all species pairs.</w:t>
      </w:r>
    </w:p>
    <w:p w14:paraId="6A29E941" w14:textId="77777777" w:rsidR="00EF30E6" w:rsidRDefault="00EF30E6">
      <w:pPr>
        <w:spacing w:line="360" w:lineRule="auto"/>
      </w:pPr>
    </w:p>
    <w:p w14:paraId="64E66284" w14:textId="1E7916F1" w:rsidR="00EF30E6" w:rsidRDefault="00000000">
      <w:pPr>
        <w:pStyle w:val="Heading3"/>
        <w:spacing w:line="360" w:lineRule="auto"/>
      </w:pPr>
      <w:bookmarkStart w:id="139" w:name="_jmxzj4r2vgmo" w:colFirst="0" w:colLast="0"/>
      <w:bookmarkEnd w:id="139"/>
      <w:r>
        <w:lastRenderedPageBreak/>
        <w:t xml:space="preserve">Distribution of protein identity values is </w:t>
      </w:r>
      <w:del w:id="140" w:author="Author" w:date="2024-12-27T12:21:00Z" w16du:dateUtc="2024-12-27T11:21:00Z">
        <w:r>
          <w:delText>similar</w:delText>
        </w:r>
      </w:del>
      <w:ins w:id="141" w:author="Author" w:date="2024-12-27T12:21:00Z" w16du:dateUtc="2024-12-27T11:21:00Z">
        <w:r>
          <w:t>varied</w:t>
        </w:r>
      </w:ins>
      <w:r>
        <w:t xml:space="preserve"> across species pairs </w:t>
      </w:r>
    </w:p>
    <w:p w14:paraId="755E3E1D" w14:textId="2671E0C9"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We examined genomic signatures of speciation across </w:t>
      </w:r>
      <w:del w:id="142" w:author="Author" w:date="2024-12-27T12:21:00Z" w16du:dateUtc="2024-12-27T11:21:00Z">
        <w:r>
          <w:rPr>
            <w:rFonts w:ascii="Times New Roman" w:eastAsia="Times New Roman" w:hAnsi="Times New Roman" w:cs="Times New Roman"/>
          </w:rPr>
          <w:delText>23</w:delText>
        </w:r>
      </w:del>
      <w:ins w:id="143" w:author="Author" w:date="2024-12-27T12:21:00Z" w16du:dateUtc="2024-12-27T11:21:00Z">
        <w:r>
          <w:rPr>
            <w:rFonts w:ascii="Times New Roman" w:eastAsia="Times New Roman" w:hAnsi="Times New Roman" w:cs="Times New Roman"/>
          </w:rPr>
          <w:t>22</w:t>
        </w:r>
      </w:ins>
      <w:r>
        <w:rPr>
          <w:rFonts w:ascii="Times New Roman" w:eastAsia="Times New Roman" w:hAnsi="Times New Roman" w:cs="Times New Roman"/>
        </w:rPr>
        <w:t xml:space="preserve"> pairs of congeneric species across the animal kingdom. Species are not typically defined by molecular distances, so all of the species pairs in our study, though formally described as species, may all be at different genetic stages of divergence. If all pairs show the same </w:t>
      </w:r>
      <w:ins w:id="144" w:author="Author" w:date="2024-12-27T12:21:00Z" w16du:dateUtc="2024-12-27T11:21:00Z">
        <w:r>
          <w:rPr>
            <w:rFonts w:ascii="Times New Roman" w:eastAsia="Times New Roman" w:hAnsi="Times New Roman" w:cs="Times New Roman"/>
          </w:rPr>
          <w:t xml:space="preserve">broad </w:t>
        </w:r>
      </w:ins>
      <w:r>
        <w:rPr>
          <w:rFonts w:ascii="Times New Roman" w:eastAsia="Times New Roman" w:hAnsi="Times New Roman" w:cs="Times New Roman"/>
        </w:rPr>
        <w:t xml:space="preserve">pattern of genetic changes, then they can be thought of as being at different stages along the same underlying process. However, if they show </w:t>
      </w:r>
      <w:ins w:id="145" w:author="Author" w:date="2024-12-27T12:21:00Z" w16du:dateUtc="2024-12-27T11:21:00Z">
        <w:r>
          <w:rPr>
            <w:rFonts w:ascii="Times New Roman" w:eastAsia="Times New Roman" w:hAnsi="Times New Roman" w:cs="Times New Roman"/>
          </w:rPr>
          <w:t xml:space="preserve">very </w:t>
        </w:r>
      </w:ins>
      <w:r>
        <w:rPr>
          <w:rFonts w:ascii="Times New Roman" w:eastAsia="Times New Roman" w:hAnsi="Times New Roman" w:cs="Times New Roman"/>
        </w:rPr>
        <w:t>different patterns between species, then multiple underlying processes are possible.</w:t>
      </w:r>
    </w:p>
    <w:p w14:paraId="3B81C869" w14:textId="77777777" w:rsidR="00EF30E6" w:rsidRDefault="00EF30E6">
      <w:pPr>
        <w:spacing w:line="360" w:lineRule="auto"/>
        <w:rPr>
          <w:rFonts w:ascii="Times New Roman" w:eastAsia="Times New Roman" w:hAnsi="Times New Roman" w:cs="Times New Roman"/>
        </w:rPr>
      </w:pPr>
    </w:p>
    <w:p w14:paraId="7CF230F1" w14:textId="402F48A0"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Among congeneric species, </w:t>
      </w:r>
      <w:del w:id="146" w:author="Author" w:date="2024-12-27T12:21:00Z" w16du:dateUtc="2024-12-27T11:21:00Z">
        <w:r>
          <w:rPr>
            <w:rFonts w:ascii="Times New Roman" w:eastAsia="Times New Roman" w:hAnsi="Times New Roman" w:cs="Times New Roman"/>
          </w:rPr>
          <w:delText>most</w:delText>
        </w:r>
      </w:del>
      <w:ins w:id="147" w:author="Author" w:date="2024-12-27T12:21:00Z" w16du:dateUtc="2024-12-27T11:21:00Z">
        <w:r>
          <w:rPr>
            <w:rFonts w:ascii="Times New Roman" w:eastAsia="Times New Roman" w:hAnsi="Times New Roman" w:cs="Times New Roman"/>
          </w:rPr>
          <w:t>many</w:t>
        </w:r>
      </w:ins>
      <w:r>
        <w:rPr>
          <w:rFonts w:ascii="Times New Roman" w:eastAsia="Times New Roman" w:hAnsi="Times New Roman" w:cs="Times New Roman"/>
        </w:rPr>
        <w:t xml:space="preserve"> one-to-one orthologous proteins are nearly identical for </w:t>
      </w:r>
      <w:del w:id="148" w:author="Author" w:date="2024-12-27T12:21:00Z" w16du:dateUtc="2024-12-27T11:21:00Z">
        <w:r>
          <w:rPr>
            <w:rFonts w:ascii="Times New Roman" w:eastAsia="Times New Roman" w:hAnsi="Times New Roman" w:cs="Times New Roman"/>
          </w:rPr>
          <w:delText>many</w:delText>
        </w:r>
      </w:del>
      <w:ins w:id="149" w:author="Author" w:date="2024-12-27T12:21:00Z" w16du:dateUtc="2024-12-27T11:21:00Z">
        <w:r>
          <w:rPr>
            <w:rFonts w:ascii="Times New Roman" w:eastAsia="Times New Roman" w:hAnsi="Times New Roman" w:cs="Times New Roman"/>
          </w:rPr>
          <w:t>several</w:t>
        </w:r>
      </w:ins>
      <w:r>
        <w:rPr>
          <w:rFonts w:ascii="Times New Roman" w:eastAsia="Times New Roman" w:hAnsi="Times New Roman" w:cs="Times New Roman"/>
        </w:rPr>
        <w:t xml:space="preserve"> pairs (Figure 3A,D, Supplemental Figure 7), and only few proteins were highly divergent (Supplemental Figure 7). </w:t>
      </w:r>
      <w:del w:id="150" w:author="Author" w:date="2024-12-27T12:21:00Z" w16du:dateUtc="2024-12-27T11:21:00Z">
        <w:r>
          <w:rPr>
            <w:rFonts w:ascii="Times New Roman" w:eastAsia="Times New Roman" w:hAnsi="Times New Roman" w:cs="Times New Roman"/>
          </w:rPr>
          <w:delText>As</w:delText>
        </w:r>
      </w:del>
      <w:ins w:id="151" w:author="Author" w:date="2024-12-27T12:21:00Z" w16du:dateUtc="2024-12-27T11:21:00Z">
        <w:r>
          <w:rPr>
            <w:rFonts w:ascii="Times New Roman" w:eastAsia="Times New Roman" w:hAnsi="Times New Roman" w:cs="Times New Roman"/>
          </w:rPr>
          <w:t>Over time, as</w:t>
        </w:r>
      </w:ins>
      <w:r>
        <w:rPr>
          <w:rFonts w:ascii="Times New Roman" w:eastAsia="Times New Roman" w:hAnsi="Times New Roman" w:cs="Times New Roman"/>
        </w:rPr>
        <w:t xml:space="preserve"> mutations accumulate </w:t>
      </w:r>
      <w:ins w:id="152" w:author="Author" w:date="2024-12-27T12:21:00Z" w16du:dateUtc="2024-12-27T11:21:00Z">
        <w:r>
          <w:rPr>
            <w:rFonts w:ascii="Times New Roman" w:eastAsia="Times New Roman" w:hAnsi="Times New Roman" w:cs="Times New Roman"/>
          </w:rPr>
          <w:t xml:space="preserve">throughout the genomes of the two separate species </w:t>
        </w:r>
      </w:ins>
      <w:r>
        <w:rPr>
          <w:rFonts w:ascii="Times New Roman" w:eastAsia="Times New Roman" w:hAnsi="Times New Roman" w:cs="Times New Roman"/>
        </w:rPr>
        <w:t xml:space="preserve">(Figure 3B,C,E,F), </w:t>
      </w:r>
      <w:del w:id="153" w:author="Author" w:date="2024-12-27T12:21:00Z" w16du:dateUtc="2024-12-27T11:21:00Z">
        <w:r>
          <w:rPr>
            <w:rFonts w:ascii="Times New Roman" w:eastAsia="Times New Roman" w:hAnsi="Times New Roman" w:cs="Times New Roman"/>
          </w:rPr>
          <w:delText>very few proteins remain</w:delText>
        </w:r>
      </w:del>
      <w:ins w:id="154" w:author="Author" w:date="2024-12-27T12:21:00Z" w16du:dateUtc="2024-12-27T11:21:00Z">
        <w:r>
          <w:rPr>
            <w:rFonts w:ascii="Times New Roman" w:eastAsia="Times New Roman" w:hAnsi="Times New Roman" w:cs="Times New Roman"/>
          </w:rPr>
          <w:t>the number of</w:t>
        </w:r>
      </w:ins>
      <w:r>
        <w:rPr>
          <w:rFonts w:ascii="Times New Roman" w:eastAsia="Times New Roman" w:hAnsi="Times New Roman" w:cs="Times New Roman"/>
        </w:rPr>
        <w:t xml:space="preserve"> completely identical</w:t>
      </w:r>
      <w:del w:id="155" w:author="Author" w:date="2024-12-27T12:21:00Z" w16du:dateUtc="2024-12-27T11:21:00Z">
        <w:r>
          <w:rPr>
            <w:rFonts w:ascii="Times New Roman" w:eastAsia="Times New Roman" w:hAnsi="Times New Roman" w:cs="Times New Roman"/>
          </w:rPr>
          <w:delText>. The</w:delText>
        </w:r>
      </w:del>
      <w:ins w:id="156" w:author="Author" w:date="2024-12-27T12:21:00Z" w16du:dateUtc="2024-12-27T11:21:00Z">
        <w:r>
          <w:rPr>
            <w:rFonts w:ascii="Times New Roman" w:eastAsia="Times New Roman" w:hAnsi="Times New Roman" w:cs="Times New Roman"/>
          </w:rPr>
          <w:t xml:space="preserve"> proteins decreases, in a sense turning Figure 3A into 3B. Additionally, the total number of protein pairs being compared also decreases because the</w:t>
        </w:r>
      </w:ins>
      <w:r>
        <w:rPr>
          <w:rFonts w:ascii="Times New Roman" w:eastAsia="Times New Roman" w:hAnsi="Times New Roman" w:cs="Times New Roman"/>
        </w:rPr>
        <w:t xml:space="preserve"> more</w:t>
      </w:r>
      <w:del w:id="157" w:author="Author" w:date="2024-12-27T12:21:00Z" w16du:dateUtc="2024-12-27T11:21:00Z">
        <w:r>
          <w:rPr>
            <w:rFonts w:ascii="Times New Roman" w:eastAsia="Times New Roman" w:hAnsi="Times New Roman" w:cs="Times New Roman"/>
          </w:rPr>
          <w:delText xml:space="preserve"> </w:delText>
        </w:r>
      </w:del>
      <w:ins w:id="158" w:author="Author" w:date="2024-12-27T12:21:00Z" w16du:dateUtc="2024-12-27T11:21:00Z">
        <w:r>
          <w:rPr>
            <w:rFonts w:ascii="Times New Roman" w:eastAsia="Times New Roman" w:hAnsi="Times New Roman" w:cs="Times New Roman"/>
          </w:rPr>
          <w:t>-</w:t>
        </w:r>
      </w:ins>
      <w:r>
        <w:rPr>
          <w:rFonts w:ascii="Times New Roman" w:eastAsia="Times New Roman" w:hAnsi="Times New Roman" w:cs="Times New Roman"/>
        </w:rPr>
        <w:t>divergent proteins become difficult to detect by BLAST, effectively “dropping off the graph,” and are neither counted for protein sequence identity nor detected in synteny blocks. The drop-off threshold appears to be at roughly 40% protein identity (Figure 3, see Supplemental Figure 8 for histograms of all species</w:t>
      </w:r>
      <w:del w:id="159" w:author="Author" w:date="2024-12-27T12:21:00Z" w16du:dateUtc="2024-12-27T11:21:00Z">
        <w:r>
          <w:rPr>
            <w:rFonts w:ascii="Times New Roman" w:eastAsia="Times New Roman" w:hAnsi="Times New Roman" w:cs="Times New Roman"/>
          </w:rPr>
          <w:delText>).</w:delText>
        </w:r>
      </w:del>
      <w:ins w:id="160" w:author="Author" w:date="2024-12-27T12:21:00Z" w16du:dateUtc="2024-12-27T11:21:00Z">
        <w:r>
          <w:rPr>
            <w:rFonts w:ascii="Times New Roman" w:eastAsia="Times New Roman" w:hAnsi="Times New Roman" w:cs="Times New Roman"/>
          </w:rPr>
          <w:t>)</w:t>
        </w:r>
      </w:ins>
    </w:p>
    <w:p w14:paraId="710207CD" w14:textId="77777777" w:rsidR="00B44343" w:rsidRDefault="00000000">
      <w:pPr>
        <w:spacing w:line="360" w:lineRule="auto"/>
        <w:rPr>
          <w:del w:id="161" w:author="Author" w:date="2024-12-27T12:21:00Z" w16du:dateUtc="2024-12-27T11:21:00Z"/>
          <w:rFonts w:ascii="Times New Roman" w:eastAsia="Times New Roman" w:hAnsi="Times New Roman" w:cs="Times New Roman"/>
        </w:rPr>
      </w:pPr>
      <w:del w:id="162" w:author="Author" w:date="2024-12-27T12:21:00Z" w16du:dateUtc="2024-12-27T11:21:00Z">
        <w:r>
          <w:rPr>
            <w:rFonts w:ascii="Times New Roman" w:eastAsia="Times New Roman" w:hAnsi="Times New Roman" w:cs="Times New Roman"/>
            <w:noProof/>
          </w:rPr>
          <w:drawing>
            <wp:inline distT="114300" distB="114300" distL="114300" distR="114300" wp14:anchorId="75F22FF7" wp14:editId="67271788">
              <wp:extent cx="5652239" cy="4224809"/>
              <wp:effectExtent l="0" t="0" r="0" b="0"/>
              <wp:docPr id="18520535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43" b="143"/>
                      <a:stretch>
                        <a:fillRect/>
                      </a:stretch>
                    </pic:blipFill>
                    <pic:spPr>
                      <a:xfrm>
                        <a:off x="0" y="0"/>
                        <a:ext cx="5652239" cy="4224809"/>
                      </a:xfrm>
                      <a:prstGeom prst="rect">
                        <a:avLst/>
                      </a:prstGeom>
                      <a:ln/>
                    </pic:spPr>
                  </pic:pic>
                </a:graphicData>
              </a:graphic>
            </wp:inline>
          </w:drawing>
        </w:r>
      </w:del>
    </w:p>
    <w:p w14:paraId="724C94B8" w14:textId="77777777" w:rsidR="00EF30E6" w:rsidRDefault="00EF30E6">
      <w:pPr>
        <w:spacing w:line="360" w:lineRule="auto"/>
        <w:rPr>
          <w:ins w:id="163" w:author="Author" w:date="2024-12-27T12:21:00Z" w16du:dateUtc="2024-12-27T11:21:00Z"/>
          <w:rFonts w:ascii="Times New Roman" w:eastAsia="Times New Roman" w:hAnsi="Times New Roman" w:cs="Times New Roman"/>
        </w:rPr>
      </w:pPr>
    </w:p>
    <w:p w14:paraId="7EF24AC1" w14:textId="77777777" w:rsidR="00EF30E6" w:rsidRDefault="00000000">
      <w:pPr>
        <w:spacing w:line="360" w:lineRule="auto"/>
        <w:rPr>
          <w:ins w:id="164" w:author="Author" w:date="2024-12-27T12:21:00Z" w16du:dateUtc="2024-12-27T11:21:00Z"/>
          <w:rFonts w:ascii="Times New Roman" w:eastAsia="Times New Roman" w:hAnsi="Times New Roman" w:cs="Times New Roman"/>
        </w:rPr>
      </w:pPr>
      <w:ins w:id="165" w:author="Author" w:date="2024-12-27T12:21:00Z" w16du:dateUtc="2024-12-27T11:21:00Z">
        <w:r>
          <w:rPr>
            <w:rFonts w:ascii="Times New Roman" w:eastAsia="Times New Roman" w:hAnsi="Times New Roman" w:cs="Times New Roman"/>
            <w:noProof/>
          </w:rPr>
          <w:drawing>
            <wp:inline distT="114300" distB="114300" distL="114300" distR="114300" wp14:anchorId="0BFD8853" wp14:editId="186387E2">
              <wp:extent cx="5652239" cy="42248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43" b="143"/>
                      <a:stretch>
                        <a:fillRect/>
                      </a:stretch>
                    </pic:blipFill>
                    <pic:spPr>
                      <a:xfrm>
                        <a:off x="0" y="0"/>
                        <a:ext cx="5652239" cy="4224809"/>
                      </a:xfrm>
                      <a:prstGeom prst="rect">
                        <a:avLst/>
                      </a:prstGeom>
                      <a:ln/>
                    </pic:spPr>
                  </pic:pic>
                </a:graphicData>
              </a:graphic>
            </wp:inline>
          </w:drawing>
        </w:r>
      </w:ins>
    </w:p>
    <w:p w14:paraId="302ACE51" w14:textId="77777777" w:rsidR="00EF30E6" w:rsidRDefault="00000000">
      <w:pPr>
        <w:pStyle w:val="Heading4"/>
        <w:rPr>
          <w:color w:val="000000"/>
          <w:sz w:val="20"/>
          <w:szCs w:val="20"/>
        </w:rPr>
      </w:pPr>
      <w:bookmarkStart w:id="166" w:name="_6t9km1o4txd8" w:colFirst="0" w:colLast="0"/>
      <w:bookmarkEnd w:id="166"/>
      <w:r>
        <w:rPr>
          <w:color w:val="000000"/>
          <w:sz w:val="20"/>
          <w:szCs w:val="20"/>
        </w:rPr>
        <w:t xml:space="preserve">Figure 3: Histograms of protein percent identity for </w:t>
      </w:r>
      <w:r>
        <w:rPr>
          <w:i/>
          <w:color w:val="000000"/>
          <w:sz w:val="20"/>
          <w:szCs w:val="20"/>
        </w:rPr>
        <w:t>Crassostrea</w:t>
      </w:r>
      <w:r>
        <w:rPr>
          <w:color w:val="000000"/>
          <w:sz w:val="20"/>
          <w:szCs w:val="20"/>
        </w:rPr>
        <w:t xml:space="preserve"> (A-C) and </w:t>
      </w:r>
      <w:r>
        <w:rPr>
          <w:i/>
          <w:color w:val="000000"/>
          <w:sz w:val="20"/>
          <w:szCs w:val="20"/>
        </w:rPr>
        <w:t>Drosophila</w:t>
      </w:r>
      <w:r>
        <w:rPr>
          <w:color w:val="000000"/>
          <w:sz w:val="20"/>
          <w:szCs w:val="20"/>
        </w:rPr>
        <w:t xml:space="preserve"> (D-F). Protein identity is binned at intervals of 0.1% identity.</w:t>
      </w:r>
      <w:ins w:id="167" w:author="Author" w:date="2024-12-27T12:21:00Z" w16du:dateUtc="2024-12-27T11:21:00Z">
        <w:r>
          <w:rPr>
            <w:color w:val="000000"/>
            <w:sz w:val="20"/>
            <w:szCs w:val="20"/>
          </w:rPr>
          <w:t xml:space="preserve"> Note the large differences in Y-axis scale, driven by a large number of 100% identical proteins in A and D.</w:t>
        </w:r>
      </w:ins>
    </w:p>
    <w:p w14:paraId="61BE9F89" w14:textId="77777777" w:rsidR="00B44343" w:rsidRDefault="00B44343">
      <w:pPr>
        <w:rPr>
          <w:del w:id="168" w:author="Author" w:date="2024-12-27T12:21:00Z" w16du:dateUtc="2024-12-27T11:21:00Z"/>
        </w:rPr>
      </w:pPr>
      <w:bookmarkStart w:id="169" w:name="_xlkp8ptfw3bq" w:colFirst="0" w:colLast="0"/>
      <w:bookmarkEnd w:id="169"/>
    </w:p>
    <w:p w14:paraId="7539CB2B" w14:textId="77777777" w:rsidR="00EF30E6" w:rsidRDefault="00000000">
      <w:pPr>
        <w:pStyle w:val="Heading3"/>
        <w:spacing w:line="360" w:lineRule="auto"/>
      </w:pPr>
      <w:r>
        <w:t>Lack of genomic signatures of speciation</w:t>
      </w:r>
    </w:p>
    <w:p w14:paraId="45343758"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 taxonomic hierarchy can be considered an abstraction of the true divergence within a clade. However, taxonomic ranks are arbitrary and do not reflect divergence similarly in different groups. Yet, as ranks can be used as proxies for phylogenetic diversity, taxonomic ranks remain meaningful in contexts such as conservation biology </w:t>
      </w:r>
      <w:r>
        <w:fldChar w:fldCharType="begin"/>
      </w:r>
      <w:r>
        <w:instrText>HYPERLINK "https://paperpile.com/c/pirA7c/OUFP" \h</w:instrText>
      </w:r>
      <w:r>
        <w:fldChar w:fldCharType="separate"/>
      </w:r>
      <w:r>
        <w:rPr>
          <w:rFonts w:ascii="Times New Roman" w:eastAsia="Times New Roman" w:hAnsi="Times New Roman" w:cs="Times New Roman"/>
          <w:color w:val="000000"/>
        </w:rPr>
        <w:t>(Hendricks et al. 2014)</w:t>
      </w:r>
      <w:r>
        <w:fldChar w:fldCharType="end"/>
      </w:r>
      <w:r>
        <w:rPr>
          <w:rFonts w:ascii="Times New Roman" w:eastAsia="Times New Roman" w:hAnsi="Times New Roman" w:cs="Times New Roman"/>
        </w:rPr>
        <w:t xml:space="preserve">. In our study, as there are multiple trajectories of genetic change among congeneric species (Figure 1), we could not identify a clear genomic distinction based on macro- and/or microsyntenic patterns or percent protein identity that could possibly be useful to delimit different animal species, and generally, any other taxonomic level. Within some clades, patterns related to specific chromosomal features, such as centromere position, may emerge. In our data, some species pairs (e.g., in genera </w:t>
      </w:r>
      <w:r>
        <w:rPr>
          <w:rFonts w:ascii="Times New Roman" w:eastAsia="Times New Roman" w:hAnsi="Times New Roman" w:cs="Times New Roman"/>
          <w:i/>
        </w:rPr>
        <w:t>Crassostrea</w:t>
      </w:r>
      <w:r>
        <w:rPr>
          <w:rFonts w:ascii="Times New Roman" w:eastAsia="Times New Roman" w:hAnsi="Times New Roman" w:cs="Times New Roman"/>
        </w:rPr>
        <w:t xml:space="preserve">, </w:t>
      </w:r>
      <w:r>
        <w:rPr>
          <w:rFonts w:ascii="Times New Roman" w:eastAsia="Times New Roman" w:hAnsi="Times New Roman" w:cs="Times New Roman"/>
          <w:i/>
        </w:rPr>
        <w:t>Daphnia</w:t>
      </w:r>
      <w:r>
        <w:rPr>
          <w:rFonts w:ascii="Times New Roman" w:eastAsia="Times New Roman" w:hAnsi="Times New Roman" w:cs="Times New Roman"/>
        </w:rPr>
        <w:t xml:space="preserve">) show low levels of microsynteny and relatively low protein sequence identity indicating that the taxonomic rank ‘genus’ in these pairs point to different stages of the evolutionary process </w:t>
      </w:r>
      <w:r>
        <w:fldChar w:fldCharType="begin"/>
      </w:r>
      <w:r>
        <w:instrText>HYPERLINK "https://paperpile.com/c/pirA7c/ubCs/?prefix=see%2C%20for%20example%2C%20also" \h</w:instrText>
      </w:r>
      <w:r>
        <w:fldChar w:fldCharType="separate"/>
      </w:r>
      <w:r>
        <w:rPr>
          <w:rFonts w:ascii="Times New Roman" w:eastAsia="Times New Roman" w:hAnsi="Times New Roman" w:cs="Times New Roman"/>
          <w:color w:val="000000"/>
        </w:rPr>
        <w:t>(see, for example, also Avise and Liu 2011)</w:t>
      </w:r>
      <w:r>
        <w:fldChar w:fldCharType="end"/>
      </w:r>
      <w:r>
        <w:rPr>
          <w:rFonts w:ascii="Times New Roman" w:eastAsia="Times New Roman" w:hAnsi="Times New Roman" w:cs="Times New Roman"/>
        </w:rPr>
        <w:t xml:space="preserve">. For instance, the two </w:t>
      </w:r>
      <w:r>
        <w:rPr>
          <w:rFonts w:ascii="Times New Roman" w:eastAsia="Times New Roman" w:hAnsi="Times New Roman" w:cs="Times New Roman"/>
          <w:i/>
        </w:rPr>
        <w:t>Crassostrea</w:t>
      </w:r>
      <w:r>
        <w:rPr>
          <w:rFonts w:ascii="Times New Roman" w:eastAsia="Times New Roman" w:hAnsi="Times New Roman" w:cs="Times New Roman"/>
        </w:rPr>
        <w:t xml:space="preserve"> species, </w:t>
      </w:r>
      <w:r>
        <w:rPr>
          <w:rFonts w:ascii="Times New Roman" w:eastAsia="Times New Roman" w:hAnsi="Times New Roman" w:cs="Times New Roman"/>
          <w:i/>
        </w:rPr>
        <w:t>C. angulata</w:t>
      </w:r>
      <w:r>
        <w:rPr>
          <w:rFonts w:ascii="Times New Roman" w:eastAsia="Times New Roman" w:hAnsi="Times New Roman" w:cs="Times New Roman"/>
        </w:rPr>
        <w:t xml:space="preserve"> and </w:t>
      </w:r>
      <w:r>
        <w:rPr>
          <w:rFonts w:ascii="Times New Roman" w:eastAsia="Times New Roman" w:hAnsi="Times New Roman" w:cs="Times New Roman"/>
          <w:i/>
        </w:rPr>
        <w:t>C. virginica,</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represent a pair where substantial rearrangements are visible in the genome. These two species are also separated geographically, as </w:t>
      </w:r>
      <w:r>
        <w:rPr>
          <w:rFonts w:ascii="Times New Roman" w:eastAsia="Times New Roman" w:hAnsi="Times New Roman" w:cs="Times New Roman"/>
          <w:i/>
        </w:rPr>
        <w:t>C. angulata</w:t>
      </w:r>
      <w:r>
        <w:rPr>
          <w:rFonts w:ascii="Times New Roman" w:eastAsia="Times New Roman" w:hAnsi="Times New Roman" w:cs="Times New Roman"/>
        </w:rPr>
        <w:t xml:space="preserve"> was originally from the Pacific, while </w:t>
      </w:r>
      <w:r>
        <w:rPr>
          <w:rFonts w:ascii="Times New Roman" w:eastAsia="Times New Roman" w:hAnsi="Times New Roman" w:cs="Times New Roman"/>
          <w:i/>
        </w:rPr>
        <w:t>C. virginica</w:t>
      </w:r>
      <w:r>
        <w:rPr>
          <w:rFonts w:ascii="Times New Roman" w:eastAsia="Times New Roman" w:hAnsi="Times New Roman" w:cs="Times New Roman"/>
        </w:rPr>
        <w:t xml:space="preserve"> is from the Atlantic.</w:t>
      </w:r>
    </w:p>
    <w:p w14:paraId="7F3BF512" w14:textId="77777777" w:rsidR="00EF30E6" w:rsidRDefault="00EF30E6">
      <w:pPr>
        <w:spacing w:line="360" w:lineRule="auto"/>
        <w:rPr>
          <w:rFonts w:ascii="Times New Roman" w:eastAsia="Times New Roman" w:hAnsi="Times New Roman" w:cs="Times New Roman"/>
        </w:rPr>
      </w:pPr>
    </w:p>
    <w:p w14:paraId="3A35A608"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As in most other similar studies, the synteny assignments in our method are ultimately dependent upon local sequence similarity (BLAST, DIAMOND, etc). Hence, one of two effects could result in the exclusion of a gene from our analysis: duplication (no longer a one-to-one ortholog) or mutation beyond the detection of BLAST. This second cause may explain the regression line found by </w:t>
      </w:r>
      <w:r>
        <w:fldChar w:fldCharType="begin"/>
      </w:r>
      <w:r>
        <w:instrText>HYPERLINK "https://paperpile.com/c/pirA7c/YxaS" \h</w:instrText>
      </w:r>
      <w:r>
        <w:fldChar w:fldCharType="separate"/>
      </w:r>
      <w:r>
        <w:rPr>
          <w:rFonts w:ascii="Times New Roman" w:eastAsia="Times New Roman" w:hAnsi="Times New Roman" w:cs="Times New Roman"/>
          <w:color w:val="000000"/>
        </w:rPr>
        <w:t>(Zdobnov and Bork 2007)</w:t>
      </w:r>
      <w:r>
        <w:fldChar w:fldCharType="end"/>
      </w:r>
      <w:r>
        <w:t xml:space="preserve"> </w:t>
      </w:r>
      <w:r>
        <w:rPr>
          <w:rFonts w:ascii="Times New Roman" w:eastAsia="Times New Roman" w:hAnsi="Times New Roman" w:cs="Times New Roman"/>
        </w:rPr>
        <w:t>and the apparent lower bound for protein identity to microsynteny (Figure 1C). In this regard, as protein pairs diverge beyond the detection limit imposed by sequence similarity searches, e.g., in more distantly related species or genes with low evolutionary pressure, they cannot be detected as syntenic. Thus, it is very unlikely to find a species pair with very high microsynteny and low protein identity but not the opposite.</w:t>
      </w:r>
    </w:p>
    <w:p w14:paraId="372F495D" w14:textId="77777777" w:rsidR="00EF30E6" w:rsidRDefault="00000000">
      <w:pPr>
        <w:pStyle w:val="Heading3"/>
        <w:spacing w:line="360" w:lineRule="auto"/>
        <w:rPr>
          <w:rFonts w:ascii="Times New Roman" w:eastAsia="Times New Roman" w:hAnsi="Times New Roman" w:cs="Times New Roman"/>
        </w:rPr>
      </w:pPr>
      <w:bookmarkStart w:id="170" w:name="_1hf47s4e9od" w:colFirst="0" w:colLast="0"/>
      <w:bookmarkEnd w:id="170"/>
      <w:r>
        <w:t>Difficulty in quantification of syntenic blocks and microsynteny</w:t>
      </w:r>
    </w:p>
    <w:p w14:paraId="2C1E4110"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Meaningful measurements of microsynteny are challenging to get with current data. For instance, assembly quality could affect synteny assessments, as lower quality assemblies would be expected to increase the number of synteny blocks but not necessarily affect the number of syntenic genes. Due to the high sensitivity of the analysis to different parameters, real biological features such as gene insertions, duplications, or long intergenic regions can result in synteny blocks being split in two. Thus, the number of synteny blocks themselves is less important than the number of genes contained in blocks. A further confounding factor is the presence of unassigned scaffolds (i.e., the number of scaffolds is far above the number of chromosomes) in all assemblies analyzed. These may be unmerged haplotypes and would affect the measurement by increasing the number of genes not found in matching synteny blocks as they appear as duplicates.</w:t>
      </w:r>
    </w:p>
    <w:p w14:paraId="1FB2D935" w14:textId="77777777" w:rsidR="00EF30E6" w:rsidRDefault="00EF30E6">
      <w:pPr>
        <w:spacing w:line="360" w:lineRule="auto"/>
        <w:rPr>
          <w:rFonts w:ascii="Times New Roman" w:eastAsia="Times New Roman" w:hAnsi="Times New Roman" w:cs="Times New Roman"/>
        </w:rPr>
      </w:pPr>
    </w:p>
    <w:p w14:paraId="2B438A4A"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One attempt to model the syntenic change between mouse and human </w:t>
      </w:r>
      <w:r>
        <w:fldChar w:fldCharType="begin"/>
      </w:r>
      <w:r>
        <w:instrText>HYPERLINK "https://paperpile.com/c/pirA7c/oDQR" \h</w:instrText>
      </w:r>
      <w:r>
        <w:fldChar w:fldCharType="separate"/>
      </w:r>
      <w:r>
        <w:rPr>
          <w:rFonts w:ascii="Times New Roman" w:eastAsia="Times New Roman" w:hAnsi="Times New Roman" w:cs="Times New Roman"/>
          <w:color w:val="000000"/>
        </w:rPr>
        <w:t>(Nadeau and Taylor 1984)</w:t>
      </w:r>
      <w:r>
        <w:fldChar w:fldCharType="end"/>
      </w:r>
      <w:r>
        <w:rPr>
          <w:rFonts w:ascii="Times New Roman" w:eastAsia="Times New Roman" w:hAnsi="Times New Roman" w:cs="Times New Roman"/>
        </w:rPr>
        <w:t xml:space="preserve"> had also assumed that reciprocal translocations and not inversions typically caused the synteny breaks. Under that model, it was assumed that the length of synteny blocks follows a negative exponential distribution and that synteny breaks disrupt both micro- and macro-synteny, something not typically observed. Nadeau’s model was disputed by Zdobnov and Bork </w:t>
      </w:r>
      <w:r>
        <w:fldChar w:fldCharType="begin"/>
      </w:r>
      <w:r>
        <w:instrText>HYPERLINK "https://paperpile.com/c/pirA7c/YxaS/?noauthor=1" \h</w:instrText>
      </w:r>
      <w:r>
        <w:fldChar w:fldCharType="separate"/>
      </w:r>
      <w:r>
        <w:rPr>
          <w:rFonts w:ascii="Times New Roman" w:eastAsia="Times New Roman" w:hAnsi="Times New Roman" w:cs="Times New Roman"/>
          <w:color w:val="000000"/>
        </w:rPr>
        <w:t>(2007)</w:t>
      </w:r>
      <w:r>
        <w:fldChar w:fldCharType="end"/>
      </w:r>
      <w:r>
        <w:rPr>
          <w:rFonts w:ascii="Times New Roman" w:eastAsia="Times New Roman" w:hAnsi="Times New Roman" w:cs="Times New Roman"/>
        </w:rPr>
        <w:t>, who argued that the distribution of block length followed a power law, not an exponential distribution. We found similar correlations in block length in our dataset, though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ranged between 0.713 and 0.945 (Supplemental Figure 9). Thus, the correlation between block length and number of blocks is not as strong as proposed by Zdobnov and Bork </w:t>
      </w:r>
      <w:r>
        <w:fldChar w:fldCharType="begin"/>
      </w:r>
      <w:r>
        <w:instrText>HYPERLINK "https://paperpile.com/c/pirA7c/YxaS/?noauthor=1" \h</w:instrText>
      </w:r>
      <w:r>
        <w:fldChar w:fldCharType="separate"/>
      </w:r>
      <w:r>
        <w:rPr>
          <w:rFonts w:ascii="Times New Roman" w:eastAsia="Times New Roman" w:hAnsi="Times New Roman" w:cs="Times New Roman"/>
          <w:color w:val="000000"/>
        </w:rPr>
        <w:t>(2007)</w:t>
      </w:r>
      <w:r>
        <w:fldChar w:fldCharType="end"/>
      </w:r>
      <w:r>
        <w:rPr>
          <w:rFonts w:ascii="Times New Roman" w:eastAsia="Times New Roman" w:hAnsi="Times New Roman" w:cs="Times New Roman"/>
        </w:rPr>
        <w:t xml:space="preserve">, suggesting that other biological factors affect chromosomal  breakpoints </w:t>
      </w:r>
      <w:r>
        <w:fldChar w:fldCharType="begin"/>
      </w:r>
      <w:r>
        <w:instrText>HYPERLINK "https://paperpile.com/c/pirA7c/OH4J" \h</w:instrText>
      </w:r>
      <w:r>
        <w:fldChar w:fldCharType="separate"/>
      </w:r>
      <w:r>
        <w:rPr>
          <w:rFonts w:ascii="Times New Roman" w:eastAsia="Times New Roman" w:hAnsi="Times New Roman" w:cs="Times New Roman"/>
          <w:color w:val="000000"/>
        </w:rPr>
        <w:t>(Pevzner and Tesler 2003)</w:t>
      </w:r>
      <w:r>
        <w:fldChar w:fldCharType="end"/>
      </w:r>
      <w:r>
        <w:rPr>
          <w:rFonts w:ascii="Times New Roman" w:eastAsia="Times New Roman" w:hAnsi="Times New Roman" w:cs="Times New Roman"/>
        </w:rPr>
        <w:t>.</w:t>
      </w:r>
    </w:p>
    <w:p w14:paraId="68FB3085" w14:textId="77777777" w:rsidR="00B44343" w:rsidRDefault="00B44343">
      <w:pPr>
        <w:spacing w:line="360" w:lineRule="auto"/>
        <w:rPr>
          <w:del w:id="171" w:author="Author" w:date="2024-12-27T12:21:00Z" w16du:dateUtc="2024-12-27T11:21:00Z"/>
          <w:rFonts w:ascii="Times New Roman" w:eastAsia="Times New Roman" w:hAnsi="Times New Roman" w:cs="Times New Roman"/>
        </w:rPr>
      </w:pPr>
      <w:bookmarkStart w:id="172" w:name="_b9znyfeorj0v" w:colFirst="0" w:colLast="0"/>
      <w:bookmarkEnd w:id="172"/>
    </w:p>
    <w:p w14:paraId="591D1006" w14:textId="77777777" w:rsidR="00EF30E6" w:rsidRDefault="00000000">
      <w:pPr>
        <w:pStyle w:val="Heading3"/>
        <w:spacing w:line="360" w:lineRule="auto"/>
      </w:pPr>
      <w:r>
        <w:t>Challenges in quantification of rearrangement time</w:t>
      </w:r>
    </w:p>
    <w:p w14:paraId="4AFC9989"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 prominent unanswered question of this study is whether chromosome rearrangements occur at the same rate across a clade. Such a study would be of great interest in evolutionary biology, even if difficult to design correctly. Firstly, such a study would require enough sequenced high-quality chromosome-scale species-pair genomes to identify which lineage had the inversion or translocation based on genomic triangulation. We are currently far from this objective. In our study, there were only 18 genera on NCBI with more than two species with chromosome-level assemblies, and several of those still did not include an annotation.</w:t>
      </w:r>
    </w:p>
    <w:p w14:paraId="579AF110" w14:textId="078151C9"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Secondly, one must infer divergence times between taxa in a way that is not reliant on protein identity. Divergence time estimates are often based on molecular clock inferences. While fossil calibrations are necessary for this analysis, the time estimates are then shifted based on molecular changes, i.e, the inferred divergence time depends on the protein identity. Unsurprisingly, one would likely find a strong correlation between protein identity and divergence time (as in </w:t>
      </w:r>
      <w:ins w:id="173" w:author="Author" w:date="2024-12-27T12:21:00Z" w16du:dateUtc="2024-12-27T11:21:00Z">
        <w:r>
          <w:rPr>
            <w:rFonts w:ascii="Times New Roman" w:eastAsia="Times New Roman" w:hAnsi="Times New Roman" w:cs="Times New Roman"/>
          </w:rPr>
          <w:t xml:space="preserve">Supplemental </w:t>
        </w:r>
      </w:ins>
      <w:r>
        <w:rPr>
          <w:rFonts w:ascii="Times New Roman" w:eastAsia="Times New Roman" w:hAnsi="Times New Roman" w:cs="Times New Roman"/>
        </w:rPr>
        <w:t xml:space="preserve">Figure </w:t>
      </w:r>
      <w:del w:id="174" w:author="Author" w:date="2024-12-27T12:21:00Z" w16du:dateUtc="2024-12-27T11:21:00Z">
        <w:r>
          <w:rPr>
            <w:rFonts w:ascii="Times New Roman" w:eastAsia="Times New Roman" w:hAnsi="Times New Roman" w:cs="Times New Roman"/>
          </w:rPr>
          <w:delText>1</w:delText>
        </w:r>
      </w:del>
      <w:ins w:id="175" w:author="Author" w:date="2024-12-27T12:21:00Z" w16du:dateUtc="2024-12-27T11:21:00Z">
        <w:r>
          <w:rPr>
            <w:rFonts w:ascii="Times New Roman" w:eastAsia="Times New Roman" w:hAnsi="Times New Roman" w:cs="Times New Roman"/>
          </w:rPr>
          <w:t>10</w:t>
        </w:r>
      </w:ins>
      <w:r>
        <w:rPr>
          <w:rFonts w:ascii="Times New Roman" w:eastAsia="Times New Roman" w:hAnsi="Times New Roman" w:cs="Times New Roman"/>
        </w:rPr>
        <w:t xml:space="preserve">), but that is a problem of circular logic; the divergence time was a function of protein identity in the first place, so it cannot be applied as an independent measurement for rearrangements. This is extended with the correlation of protein identity to the number of genes in synteny blocks. Consequently, protein identity, microsynteny, and molecular clock-based divergence estimates are likely correlated. Unfortunately, this means that molecular clock divergence time should not be used to test the rearrangement rate in lineages. One possibility for timing narrow-scale speciation could be the usage of codon evolution models. For instance, in Placozoa, it was observed that the nucleotide identity differed from protein identity such that highly conserved genes had many synonymous nucleotide changes instead of simply having fewer total mutations </w:t>
      </w:r>
      <w:r>
        <w:fldChar w:fldCharType="begin"/>
      </w:r>
      <w:r>
        <w:instrText>HYPERLINK "https://paperpile.com/c/pirA7c/D2Lq" \h</w:instrText>
      </w:r>
      <w:r>
        <w:fldChar w:fldCharType="separate"/>
      </w:r>
      <w:r>
        <w:rPr>
          <w:rFonts w:ascii="Times New Roman" w:eastAsia="Times New Roman" w:hAnsi="Times New Roman" w:cs="Times New Roman"/>
          <w:color w:val="000000"/>
        </w:rPr>
        <w:t>(Eitel et al. 2018)</w:t>
      </w:r>
      <w:r>
        <w:fldChar w:fldCharType="end"/>
      </w:r>
      <w:r>
        <w:rPr>
          <w:rFonts w:ascii="Times New Roman" w:eastAsia="Times New Roman" w:hAnsi="Times New Roman" w:cs="Times New Roman"/>
        </w:rPr>
        <w:t>. Thus, codon evolution models could provide a different age estimate than the proteins.</w:t>
      </w:r>
    </w:p>
    <w:p w14:paraId="6E1ED9E9" w14:textId="77777777" w:rsidR="00EF30E6" w:rsidRDefault="00000000">
      <w:pPr>
        <w:pStyle w:val="Heading2"/>
        <w:spacing w:line="360" w:lineRule="auto"/>
      </w:pPr>
      <w:bookmarkStart w:id="176" w:name="_l4wmjrkacbnu" w:colFirst="0" w:colLast="0"/>
      <w:bookmarkEnd w:id="176"/>
      <w:r>
        <w:t>Conclusions</w:t>
      </w:r>
    </w:p>
    <w:p w14:paraId="309ABD73" w14:textId="77777777"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Defining and delimiting species is one of the important and basic requirements for studying biodiversity and its evolution, and it is pivotal for the management and conservation of natural resources. However, even in the times of DNA barcoding and genome sequencing, no universal threshold that applies, for example, across all animals, has been identified, and different species concepts are applied in different taxa. Synteny, i.e., the shared arrangement of genes on chromosomes between species, has been used as a marker of shared ancestry, with synteny-breaking events resulting in genomic incompatibilities between populations, ultimately leading to speciation. However, in our study of the genomes of 22 con-generic pairs, we found that genomic changes inferred from speciation are variable and contextual and that synteny should not be used at present as a measure of </w:t>
      </w:r>
      <w:r>
        <w:rPr>
          <w:rFonts w:ascii="Times New Roman" w:eastAsia="Times New Roman" w:hAnsi="Times New Roman" w:cs="Times New Roman"/>
        </w:rPr>
        <w:lastRenderedPageBreak/>
        <w:t>divergence or speciation. Once more high-quality, chromosome-scale genomes of</w:t>
      </w:r>
      <w:ins w:id="177" w:author="Author" w:date="2024-12-27T12:21:00Z" w16du:dateUtc="2024-12-27T11:21:00Z">
        <w:r>
          <w:rPr>
            <w:rFonts w:ascii="Times New Roman" w:eastAsia="Times New Roman" w:hAnsi="Times New Roman" w:cs="Times New Roman"/>
          </w:rPr>
          <w:t xml:space="preserve"> sister</w:t>
        </w:r>
      </w:ins>
      <w:r>
        <w:rPr>
          <w:rFonts w:ascii="Times New Roman" w:eastAsia="Times New Roman" w:hAnsi="Times New Roman" w:cs="Times New Roman"/>
        </w:rPr>
        <w:t xml:space="preserve"> species-pairs are available, a clear pattern of genome evolution may emerge..</w:t>
      </w:r>
    </w:p>
    <w:p w14:paraId="072B3BFA" w14:textId="77777777" w:rsidR="00B44343" w:rsidRDefault="00B44343">
      <w:pPr>
        <w:spacing w:line="360" w:lineRule="auto"/>
        <w:rPr>
          <w:del w:id="178" w:author="Author" w:date="2024-12-27T12:21:00Z" w16du:dateUtc="2024-12-27T11:21:00Z"/>
          <w:rFonts w:ascii="Times New Roman" w:eastAsia="Times New Roman" w:hAnsi="Times New Roman" w:cs="Times New Roman"/>
        </w:rPr>
      </w:pPr>
      <w:bookmarkStart w:id="179" w:name="_24teivekbm3" w:colFirst="0" w:colLast="0"/>
      <w:bookmarkEnd w:id="179"/>
    </w:p>
    <w:p w14:paraId="3B62BDB8" w14:textId="77777777" w:rsidR="00EF30E6" w:rsidRDefault="00000000">
      <w:pPr>
        <w:pStyle w:val="Heading2"/>
        <w:spacing w:line="360" w:lineRule="auto"/>
      </w:pPr>
      <w:r>
        <w:t>Data</w:t>
      </w:r>
      <w:ins w:id="180" w:author="Author" w:date="2024-12-27T12:21:00Z" w16du:dateUtc="2024-12-27T11:21:00Z">
        <w:r>
          <w:t>, script, and code</w:t>
        </w:r>
      </w:ins>
      <w:r>
        <w:t xml:space="preserve"> availability</w:t>
      </w:r>
    </w:p>
    <w:p w14:paraId="5615069F" w14:textId="20A8A2E4" w:rsidR="00EF30E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Additional data, figures, scripts and analytical resources can be accessed in a GitHub repository ​​</w:t>
      </w:r>
      <w:r>
        <w:fldChar w:fldCharType="begin"/>
      </w:r>
      <w:r>
        <w:instrText>HYPERLINK "https://github.com/PalMuc/speciation_synteny/tree/main/04-macrosynteny_plots" \h</w:instrText>
      </w:r>
      <w:r>
        <w:fldChar w:fldCharType="separate"/>
      </w:r>
      <w:r>
        <w:rPr>
          <w:rFonts w:ascii="Times New Roman" w:eastAsia="Times New Roman" w:hAnsi="Times New Roman" w:cs="Times New Roman"/>
          <w:color w:val="1155CC"/>
          <w:u w:val="single"/>
        </w:rPr>
        <w:t>https://github.com/PalMuc/congeneric_synteny</w:t>
      </w:r>
      <w:r>
        <w:fldChar w:fldCharType="end"/>
      </w:r>
      <w:r>
        <w:rPr>
          <w:rFonts w:ascii="Times New Roman" w:eastAsia="Times New Roman" w:hAnsi="Times New Roman" w:cs="Times New Roman"/>
        </w:rPr>
        <w:t xml:space="preserve">, archived with a </w:t>
      </w:r>
      <w:commentRangeStart w:id="181"/>
      <w:r>
        <w:rPr>
          <w:rFonts w:ascii="Times New Roman" w:eastAsia="Times New Roman" w:hAnsi="Times New Roman" w:cs="Times New Roman"/>
        </w:rPr>
        <w:t>DOI at Zenodo</w:t>
      </w:r>
      <w:commentRangeEnd w:id="181"/>
      <w:r>
        <w:commentReference w:id="181"/>
      </w:r>
      <w:r>
        <w:rPr>
          <w:rFonts w:ascii="Times New Roman" w:eastAsia="Times New Roman" w:hAnsi="Times New Roman" w:cs="Times New Roman"/>
        </w:rPr>
        <w:t xml:space="preserve"> (</w:t>
      </w:r>
      <w:r>
        <w:fldChar w:fldCharType="begin"/>
      </w:r>
      <w:r>
        <w:instrText>HYPERLINK "https://zenodo.org/doi/10.5281/zenodo.10069099" \h</w:instrText>
      </w:r>
      <w:r>
        <w:fldChar w:fldCharType="separate"/>
      </w:r>
      <w:r>
        <w:rPr>
          <w:rFonts w:ascii="Times New Roman" w:eastAsia="Times New Roman" w:hAnsi="Times New Roman" w:cs="Times New Roman"/>
          <w:color w:val="1155CC"/>
          <w:u w:val="single"/>
        </w:rPr>
        <w:t>https://zenodo.org/doi/10.5281/zenodo.10069099</w:t>
      </w:r>
      <w:r>
        <w:fldChar w:fldCharType="end"/>
      </w:r>
      <w:r>
        <w:rPr>
          <w:rFonts w:ascii="Times New Roman" w:eastAsia="Times New Roman" w:hAnsi="Times New Roman" w:cs="Times New Roman"/>
        </w:rPr>
        <w:t>).</w:t>
      </w:r>
    </w:p>
    <w:p w14:paraId="724AF78C" w14:textId="77777777" w:rsidR="00B44343" w:rsidRDefault="00B44343">
      <w:pPr>
        <w:spacing w:line="360" w:lineRule="auto"/>
        <w:rPr>
          <w:del w:id="182" w:author="Author" w:date="2024-12-27T12:21:00Z" w16du:dateUtc="2024-12-27T11:21:00Z"/>
        </w:rPr>
      </w:pPr>
      <w:bookmarkStart w:id="183" w:name="_2yx3pafonttg" w:colFirst="0" w:colLast="0"/>
      <w:bookmarkEnd w:id="183"/>
    </w:p>
    <w:p w14:paraId="7FABE63D" w14:textId="77777777" w:rsidR="00EF30E6" w:rsidRDefault="00000000">
      <w:pPr>
        <w:pStyle w:val="Heading2"/>
        <w:spacing w:line="360" w:lineRule="auto"/>
        <w:rPr>
          <w:ins w:id="184" w:author="Author" w:date="2024-12-27T12:21:00Z" w16du:dateUtc="2024-12-27T11:21:00Z"/>
          <w:rFonts w:ascii="Times New Roman" w:eastAsia="Times New Roman" w:hAnsi="Times New Roman" w:cs="Times New Roman"/>
        </w:rPr>
      </w:pPr>
      <w:ins w:id="185" w:author="Author" w:date="2024-12-27T12:21:00Z" w16du:dateUtc="2024-12-27T11:21:00Z">
        <w:r>
          <w:t>Supplementary Information</w:t>
        </w:r>
      </w:ins>
    </w:p>
    <w:p w14:paraId="00ACA242" w14:textId="77777777" w:rsidR="00EF30E6" w:rsidRDefault="00000000">
      <w:pPr>
        <w:widowControl w:val="0"/>
        <w:spacing w:after="220" w:line="360" w:lineRule="auto"/>
        <w:ind w:left="440"/>
        <w:rPr>
          <w:ins w:id="186" w:author="Author" w:date="2024-12-27T12:21:00Z" w16du:dateUtc="2024-12-27T11:21:00Z"/>
          <w:rFonts w:ascii="Times New Roman" w:eastAsia="Times New Roman" w:hAnsi="Times New Roman" w:cs="Times New Roman"/>
        </w:rPr>
      </w:pPr>
      <w:ins w:id="187" w:author="Author" w:date="2024-12-27T12:21:00Z" w16du:dateUtc="2024-12-27T11:21:00Z">
        <w:r>
          <w:rPr>
            <w:rFonts w:ascii="Times New Roman" w:eastAsia="Times New Roman" w:hAnsi="Times New Roman" w:cs="Times New Roman"/>
          </w:rPr>
          <w:t xml:space="preserve">Supplementary information is </w:t>
        </w:r>
        <w:r>
          <w:rPr>
            <w:rFonts w:ascii="Times New Roman" w:eastAsia="Times New Roman" w:hAnsi="Times New Roman" w:cs="Times New Roman"/>
            <w:highlight w:val="white"/>
          </w:rPr>
          <w:t xml:space="preserve">available from </w:t>
        </w:r>
        <w:r>
          <w:fldChar w:fldCharType="begin"/>
        </w:r>
        <w:r>
          <w:instrText>HYPERLINK "https://github.com/PalMuc/congeneric_synteny/tree/main/supplements_for_paper/2024-12-27%20Supplementary%20Material%20Speciation%20genomics%20Rev%201.pdf" \h</w:instrText>
        </w:r>
        <w:r>
          <w:fldChar w:fldCharType="separate"/>
        </w:r>
        <w:r>
          <w:rPr>
            <w:rFonts w:ascii="Times New Roman" w:eastAsia="Times New Roman" w:hAnsi="Times New Roman" w:cs="Times New Roman"/>
            <w:color w:val="1155CC"/>
            <w:highlight w:val="white"/>
            <w:u w:val="single"/>
          </w:rPr>
          <w:t>https://github.com/PalMuc/congeneric_synteny/tree/main/supplements_for_paper</w:t>
        </w:r>
        <w:r>
          <w:fldChar w:fldCharType="end"/>
        </w:r>
      </w:ins>
    </w:p>
    <w:p w14:paraId="79D96742" w14:textId="77777777" w:rsidR="00EF30E6" w:rsidRDefault="00000000">
      <w:pPr>
        <w:pStyle w:val="Heading2"/>
        <w:spacing w:line="360" w:lineRule="auto"/>
        <w:rPr>
          <w:ins w:id="188" w:author="Author" w:date="2024-12-27T12:21:00Z" w16du:dateUtc="2024-12-27T11:21:00Z"/>
        </w:rPr>
      </w:pPr>
      <w:bookmarkStart w:id="189" w:name="_8d9p9pogm3gi" w:colFirst="0" w:colLast="0"/>
      <w:bookmarkEnd w:id="189"/>
      <w:ins w:id="190" w:author="Author" w:date="2024-12-27T12:21:00Z" w16du:dateUtc="2024-12-27T11:21:00Z">
        <w:r>
          <w:t>Funding</w:t>
        </w:r>
      </w:ins>
    </w:p>
    <w:p w14:paraId="4107B40A" w14:textId="77777777" w:rsidR="00EF30E6" w:rsidRDefault="00000000">
      <w:pPr>
        <w:pStyle w:val="Heading2"/>
        <w:spacing w:line="360" w:lineRule="auto"/>
        <w:rPr>
          <w:moveFrom w:id="191" w:author="Author" w:date="2024-12-27T12:21:00Z" w16du:dateUtc="2024-12-27T11:21:00Z"/>
        </w:rPr>
      </w:pPr>
      <w:bookmarkStart w:id="192" w:name="_7lfsz0y31cn2"/>
      <w:bookmarkEnd w:id="192"/>
      <w:moveFromRangeStart w:id="193" w:author="Author" w:date="2024-12-27T12:21:00Z" w:name="move186194479"/>
      <w:moveFrom w:id="194" w:author="Author" w:date="2024-12-27T12:21:00Z" w16du:dateUtc="2024-12-27T11:21:00Z">
        <w:r>
          <w:t>Acknowledgements</w:t>
        </w:r>
      </w:moveFrom>
    </w:p>
    <w:moveFromRangeEnd w:id="193"/>
    <w:p w14:paraId="245B5267" w14:textId="77777777" w:rsidR="00EF30E6" w:rsidRDefault="00000000">
      <w:pPr>
        <w:spacing w:line="360" w:lineRule="auto"/>
        <w:rPr>
          <w:ins w:id="195" w:author="Author" w:date="2024-12-27T12:21:00Z" w16du:dateUtc="2024-12-27T11:21:00Z"/>
          <w:rFonts w:ascii="Times New Roman" w:eastAsia="Times New Roman" w:hAnsi="Times New Roman" w:cs="Times New Roman"/>
        </w:rPr>
      </w:pPr>
      <w:r>
        <w:rPr>
          <w:rFonts w:ascii="Times New Roman" w:eastAsia="Times New Roman" w:hAnsi="Times New Roman" w:cs="Times New Roman"/>
        </w:rPr>
        <w:t>G.W. acknowledges funding from the European Union's Horizon 2020 research and innovation programme under the Marie Skłodowska-Curie grant agreement No. 764840 (ITN IGNITE).</w:t>
      </w:r>
    </w:p>
    <w:p w14:paraId="5E750F5C" w14:textId="77777777" w:rsidR="00EF30E6" w:rsidRDefault="00000000">
      <w:pPr>
        <w:pStyle w:val="Heading2"/>
        <w:spacing w:line="360" w:lineRule="auto"/>
        <w:rPr>
          <w:moveTo w:id="196" w:author="Author" w:date="2024-12-27T12:21:00Z" w16du:dateUtc="2024-12-27T11:21:00Z"/>
        </w:rPr>
      </w:pPr>
      <w:bookmarkStart w:id="197" w:name="_bdl1i6oqpqhw" w:colFirst="0" w:colLast="0"/>
      <w:bookmarkEnd w:id="197"/>
      <w:moveToRangeStart w:id="198" w:author="Author" w:date="2024-12-27T12:21:00Z" w:name="move186194479"/>
      <w:moveTo w:id="199" w:author="Author" w:date="2024-12-27T12:21:00Z" w16du:dateUtc="2024-12-27T11:21:00Z">
        <w:r>
          <w:t>Acknowledgements</w:t>
        </w:r>
      </w:moveTo>
    </w:p>
    <w:moveToRangeEnd w:id="198"/>
    <w:p w14:paraId="4BDB235F" w14:textId="1C89D07A" w:rsidR="00EF30E6" w:rsidRDefault="00000000">
      <w:pPr>
        <w:spacing w:line="360" w:lineRule="auto"/>
        <w:rPr>
          <w:rFonts w:ascii="Times New Roman" w:eastAsia="Times New Roman" w:hAnsi="Times New Roman" w:cs="Times New Roman"/>
        </w:rPr>
      </w:pPr>
      <w:del w:id="200" w:author="Author" w:date="2024-12-27T12:21:00Z" w16du:dateUtc="2024-12-27T11:21:00Z">
        <w:r>
          <w:rPr>
            <w:rFonts w:ascii="Times New Roman" w:eastAsia="Times New Roman" w:hAnsi="Times New Roman" w:cs="Times New Roman"/>
          </w:rPr>
          <w:delText xml:space="preserve"> </w:delText>
        </w:r>
      </w:del>
      <w:r>
        <w:rPr>
          <w:rFonts w:ascii="Times New Roman" w:eastAsia="Times New Roman" w:hAnsi="Times New Roman" w:cs="Times New Roman"/>
        </w:rPr>
        <w:t xml:space="preserve">WRF would like to thank M. Dohrmann and D. Schultz for helpful discussions. We would like to thank M. Eitel for helpful discussions and comments. G.W. dedicates this work to his late wife </w:t>
      </w:r>
      <w:del w:id="201" w:author="Author" w:date="2024-12-27T12:21:00Z" w16du:dateUtc="2024-12-27T11:21:00Z">
        <w:r>
          <w:fldChar w:fldCharType="begin"/>
        </w:r>
        <w:r>
          <w:delInstrText>HYPERLINK "mailto:conniew@gmx.net" \h</w:delInstrText>
        </w:r>
        <w:r>
          <w:fldChar w:fldCharType="separate"/>
        </w:r>
        <w:r>
          <w:rPr>
            <w:rFonts w:ascii="Times New Roman" w:eastAsia="Times New Roman" w:hAnsi="Times New Roman" w:cs="Times New Roman"/>
            <w:color w:val="0000EE"/>
            <w:u w:val="single"/>
          </w:rPr>
          <w:delText>Connie Wörheide</w:delText>
        </w:r>
        <w:r>
          <w:fldChar w:fldCharType="end"/>
        </w:r>
        <w:r>
          <w:rPr>
            <w:rFonts w:ascii="Times New Roman" w:eastAsia="Times New Roman" w:hAnsi="Times New Roman" w:cs="Times New Roman"/>
          </w:rPr>
          <w:delText>,</w:delText>
        </w:r>
      </w:del>
      <w:ins w:id="202" w:author="Author" w:date="2024-12-27T12:21:00Z" w16du:dateUtc="2024-12-27T11:21:00Z">
        <w:r>
          <w:rPr>
            <w:rFonts w:ascii="Times New Roman" w:eastAsia="Times New Roman" w:hAnsi="Times New Roman" w:cs="Times New Roman"/>
          </w:rPr>
          <w:t>Connie Wörheide,</w:t>
        </w:r>
      </w:ins>
      <w:r>
        <w:rPr>
          <w:rFonts w:ascii="Times New Roman" w:eastAsia="Times New Roman" w:hAnsi="Times New Roman" w:cs="Times New Roman"/>
        </w:rPr>
        <w:t xml:space="preserve"> who left us too early during the preparation of this manuscript.</w:t>
      </w:r>
    </w:p>
    <w:p w14:paraId="30E8E362" w14:textId="77777777" w:rsidR="00EF30E6" w:rsidRDefault="00000000">
      <w:pPr>
        <w:pStyle w:val="Heading2"/>
        <w:spacing w:line="360" w:lineRule="auto"/>
      </w:pPr>
      <w:bookmarkStart w:id="203" w:name="_5z4st35rzqey" w:colFirst="0" w:colLast="0"/>
      <w:bookmarkEnd w:id="203"/>
      <w:r>
        <w:t>References</w:t>
      </w:r>
    </w:p>
    <w:p w14:paraId="7167E158" w14:textId="77777777" w:rsidR="00EF30E6" w:rsidRDefault="00000000">
      <w:pPr>
        <w:widowControl w:val="0"/>
        <w:pBdr>
          <w:top w:val="nil"/>
          <w:left w:val="nil"/>
          <w:bottom w:val="nil"/>
          <w:right w:val="nil"/>
          <w:between w:val="nil"/>
        </w:pBdr>
        <w:spacing w:before="220" w:after="220" w:line="240" w:lineRule="auto"/>
        <w:ind w:left="440" w:hanging="440"/>
        <w:rPr>
          <w:rFonts w:ascii="Times New Roman" w:eastAsia="Times New Roman" w:hAnsi="Times New Roman" w:cs="Times New Roman"/>
          <w:color w:val="000000"/>
        </w:rPr>
      </w:pPr>
      <w:r>
        <w:fldChar w:fldCharType="begin"/>
      </w:r>
      <w:r>
        <w:instrText>HYPERLINK "http://paperpile.com/b/pirA7c/oCBK" \h</w:instrText>
      </w:r>
      <w:r>
        <w:fldChar w:fldCharType="separate"/>
      </w:r>
      <w:r>
        <w:rPr>
          <w:rFonts w:ascii="Times New Roman" w:eastAsia="Times New Roman" w:hAnsi="Times New Roman" w:cs="Times New Roman"/>
          <w:color w:val="000000"/>
        </w:rPr>
        <w:t xml:space="preserve">Albertin CB, Simakov O, Mitros T, Wang ZY, Pungor JR, Edsinger-Gonzales E, Brenner S, Ragsdale CW, Rokhsar DS. 2015. The octopus genome and the evolution of cephalopod neural and morphological novelties. </w:t>
      </w:r>
      <w:r>
        <w:fldChar w:fldCharType="end"/>
      </w:r>
      <w:r>
        <w:fldChar w:fldCharType="begin"/>
      </w:r>
      <w:r>
        <w:instrText>HYPERLINK "http://paperpile.com/b/pirA7c/oCBK" \h</w:instrText>
      </w:r>
      <w:r>
        <w:fldChar w:fldCharType="separate"/>
      </w:r>
      <w:r>
        <w:rPr>
          <w:rFonts w:ascii="Times New Roman" w:eastAsia="Times New Roman" w:hAnsi="Times New Roman" w:cs="Times New Roman"/>
          <w:i/>
          <w:color w:val="000000"/>
        </w:rPr>
        <w:t>Nature</w:t>
      </w:r>
      <w:r>
        <w:fldChar w:fldCharType="end"/>
      </w:r>
      <w:r>
        <w:fldChar w:fldCharType="begin"/>
      </w:r>
      <w:r>
        <w:instrText>HYPERLINK "http://paperpile.com/b/pirA7c/oCBK" \h</w:instrText>
      </w:r>
      <w:r>
        <w:fldChar w:fldCharType="separate"/>
      </w:r>
      <w:r>
        <w:rPr>
          <w:rFonts w:ascii="Times New Roman" w:eastAsia="Times New Roman" w:hAnsi="Times New Roman" w:cs="Times New Roman"/>
          <w:color w:val="000000"/>
        </w:rPr>
        <w:t xml:space="preserve"> 524:220–224.</w:t>
      </w:r>
      <w:r>
        <w:fldChar w:fldCharType="end"/>
      </w:r>
    </w:p>
    <w:p w14:paraId="393CD665"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"http://paperpile.com/b/pirA7c/G74o" \h</w:instrText>
      </w:r>
      <w:r>
        <w:fldChar w:fldCharType="separate"/>
      </w:r>
      <w:r>
        <w:rPr>
          <w:rFonts w:ascii="Times New Roman" w:eastAsia="Times New Roman" w:hAnsi="Times New Roman" w:cs="Times New Roman"/>
          <w:color w:val="000000"/>
        </w:rPr>
        <w:t xml:space="preserve">Assis R, Kondrashov AS, Koonin EV, Kondrashov FA. 2008. Nested genes and increasing organizational complexity of metazoan genomes. </w:t>
      </w:r>
      <w:r>
        <w:fldChar w:fldCharType="end"/>
      </w:r>
      <w:r>
        <w:fldChar w:fldCharType="begin"/>
      </w:r>
      <w:r>
        <w:instrText>HYPERLINK "http://paperpile.com/b/pirA7c/G74o" \h</w:instrText>
      </w:r>
      <w:r>
        <w:fldChar w:fldCharType="separate"/>
      </w:r>
      <w:r>
        <w:rPr>
          <w:rFonts w:ascii="Times New Roman" w:eastAsia="Times New Roman" w:hAnsi="Times New Roman" w:cs="Times New Roman"/>
          <w:i/>
          <w:color w:val="000000"/>
        </w:rPr>
        <w:t>Trends Genet.</w:t>
      </w:r>
      <w:r>
        <w:fldChar w:fldCharType="end"/>
      </w:r>
      <w:r>
        <w:fldChar w:fldCharType="begin"/>
      </w:r>
      <w:r>
        <w:instrText>HYPERLINK "http://paperpile.com/b/pirA7c/G74o" \h</w:instrText>
      </w:r>
      <w:r>
        <w:fldChar w:fldCharType="separate"/>
      </w:r>
      <w:r>
        <w:rPr>
          <w:rFonts w:ascii="Times New Roman" w:eastAsia="Times New Roman" w:hAnsi="Times New Roman" w:cs="Times New Roman"/>
          <w:color w:val="000000"/>
        </w:rPr>
        <w:t xml:space="preserve"> 24:475–478.</w:t>
      </w:r>
      <w:r>
        <w:fldChar w:fldCharType="end"/>
      </w:r>
    </w:p>
    <w:p w14:paraId="6DF9AA0B"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"http://paperpile.com/b/pirA7c/ubCs" \h</w:instrText>
      </w:r>
      <w:r>
        <w:fldChar w:fldCharType="separate"/>
      </w:r>
      <w:r>
        <w:rPr>
          <w:rFonts w:ascii="Times New Roman" w:eastAsia="Times New Roman" w:hAnsi="Times New Roman" w:cs="Times New Roman"/>
          <w:color w:val="000000"/>
        </w:rPr>
        <w:t xml:space="preserve">Avise JC, Liu J-X. 2011. On the temporal inconsistencies of Linnean taxonomic ranks. </w:t>
      </w:r>
      <w:r>
        <w:fldChar w:fldCharType="end"/>
      </w:r>
      <w:r>
        <w:fldChar w:fldCharType="begin"/>
      </w:r>
      <w:r>
        <w:instrText>HYPERLINK "http://paperpile.com/b/pirA7c/ubCs" \h</w:instrText>
      </w:r>
      <w:r>
        <w:fldChar w:fldCharType="separate"/>
      </w:r>
      <w:r>
        <w:rPr>
          <w:rFonts w:ascii="Times New Roman" w:eastAsia="Times New Roman" w:hAnsi="Times New Roman" w:cs="Times New Roman"/>
          <w:i/>
          <w:color w:val="000000"/>
        </w:rPr>
        <w:t>Biol. J. Linn. Soc. Lond.</w:t>
      </w:r>
      <w:r>
        <w:fldChar w:fldCharType="end"/>
      </w:r>
      <w:r>
        <w:fldChar w:fldCharType="begin"/>
      </w:r>
      <w:r>
        <w:instrText>HYPERLINK "http://paperpile.com/b/pirA7c/ubCs" \h</w:instrText>
      </w:r>
      <w:r>
        <w:fldChar w:fldCharType="separate"/>
      </w:r>
      <w:r>
        <w:rPr>
          <w:rFonts w:ascii="Times New Roman" w:eastAsia="Times New Roman" w:hAnsi="Times New Roman" w:cs="Times New Roman"/>
          <w:color w:val="000000"/>
        </w:rPr>
        <w:t xml:space="preserve"> 102:707–714.</w:t>
      </w:r>
      <w:r>
        <w:fldChar w:fldCharType="end"/>
      </w:r>
    </w:p>
    <w:p w14:paraId="1DFD6188"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lastRenderedPageBreak/>
        <w:fldChar w:fldCharType="begin"/>
      </w:r>
      <w:r>
        <w:rPr>
          <w:rPrChange w:id="204" w:author="Author" w:date="2024-12-27T12:21:00Z" w16du:dateUtc="2024-12-27T11:21:00Z">
            <w:rPr>
              <w:lang w:val="de-DE"/>
            </w:rPr>
          </w:rPrChange>
        </w:rPr>
        <w:instrText>HYPERLINK "http://paperpile.com/b/pirA7c/jBr5" \h</w:instrText>
      </w:r>
      <w:r>
        <w:fldChar w:fldCharType="separate"/>
      </w:r>
      <w:r>
        <w:rPr>
          <w:rFonts w:ascii="Times New Roman" w:hAnsi="Times New Roman"/>
          <w:color w:val="000000"/>
          <w:rPrChange w:id="205" w:author="Author" w:date="2024-12-27T12:21:00Z" w16du:dateUtc="2024-12-27T11:21:00Z">
            <w:rPr>
              <w:rFonts w:ascii="Times New Roman" w:hAnsi="Times New Roman"/>
              <w:color w:val="000000"/>
              <w:lang w:val="de-DE"/>
            </w:rPr>
          </w:rPrChange>
        </w:rPr>
        <w:t xml:space="preserve">Buchfink B, Xie C, Huson DH. 2015. </w:t>
      </w:r>
      <w:r>
        <w:rPr>
          <w:rFonts w:ascii="Times New Roman" w:eastAsia="Times New Roman" w:hAnsi="Times New Roman" w:cs="Times New Roman"/>
          <w:color w:val="000000"/>
        </w:rPr>
        <w:t xml:space="preserve">Fast and sensitive protein alignment using DIAMOND. </w:t>
      </w:r>
      <w:r>
        <w:fldChar w:fldCharType="end"/>
      </w:r>
      <w:r>
        <w:fldChar w:fldCharType="begin"/>
      </w:r>
      <w:r>
        <w:instrText>HYPERLINK "http://paperpile.com/b/pirA7c/jBr5" \h</w:instrText>
      </w:r>
      <w:r>
        <w:fldChar w:fldCharType="separate"/>
      </w:r>
      <w:r>
        <w:rPr>
          <w:rFonts w:ascii="Times New Roman" w:eastAsia="Times New Roman" w:hAnsi="Times New Roman" w:cs="Times New Roman"/>
          <w:i/>
          <w:color w:val="000000"/>
        </w:rPr>
        <w:t>Nat. Methods</w:t>
      </w:r>
      <w:r>
        <w:fldChar w:fldCharType="end"/>
      </w:r>
      <w:r>
        <w:fldChar w:fldCharType="begin"/>
      </w:r>
      <w:r>
        <w:instrText>HYPERLINK "http://paperpile.com/b/pirA7c/jBr5" \h</w:instrText>
      </w:r>
      <w:r>
        <w:fldChar w:fldCharType="separate"/>
      </w:r>
      <w:r>
        <w:rPr>
          <w:rFonts w:ascii="Times New Roman" w:eastAsia="Times New Roman" w:hAnsi="Times New Roman" w:cs="Times New Roman"/>
          <w:color w:val="000000"/>
        </w:rPr>
        <w:t xml:space="preserve"> 12:59–60.</w:t>
      </w:r>
      <w:r>
        <w:fldChar w:fldCharType="end"/>
      </w:r>
    </w:p>
    <w:p w14:paraId="1C9369B6"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"http://paperpile.com/b/pirA7c/vk0a" \h</w:instrText>
      </w:r>
      <w:r>
        <w:fldChar w:fldCharType="separate"/>
      </w:r>
      <w:r>
        <w:rPr>
          <w:rFonts w:ascii="Times New Roman" w:eastAsia="Times New Roman" w:hAnsi="Times New Roman" w:cs="Times New Roman"/>
          <w:color w:val="000000"/>
        </w:rPr>
        <w:t xml:space="preserve">De Queiroz K. 2007. Species concepts and species delimitation. </w:t>
      </w:r>
      <w:r>
        <w:fldChar w:fldCharType="end"/>
      </w:r>
      <w:r>
        <w:fldChar w:fldCharType="begin"/>
      </w:r>
      <w:r>
        <w:instrText>HYPERLINK "http://paperpile.com/b/pirA7c/vk0a" \h</w:instrText>
      </w:r>
      <w:r>
        <w:fldChar w:fldCharType="separate"/>
      </w:r>
      <w:r>
        <w:rPr>
          <w:rFonts w:ascii="Times New Roman" w:eastAsia="Times New Roman" w:hAnsi="Times New Roman" w:cs="Times New Roman"/>
          <w:i/>
          <w:color w:val="000000"/>
        </w:rPr>
        <w:t>Syst. Biol.</w:t>
      </w:r>
      <w:r>
        <w:fldChar w:fldCharType="end"/>
      </w:r>
      <w:r>
        <w:fldChar w:fldCharType="begin"/>
      </w:r>
      <w:r>
        <w:instrText>HYPERLINK "http://paperpile.com/b/pirA7c/vk0a" \h</w:instrText>
      </w:r>
      <w:r>
        <w:fldChar w:fldCharType="separate"/>
      </w:r>
      <w:r>
        <w:rPr>
          <w:rFonts w:ascii="Times New Roman" w:eastAsia="Times New Roman" w:hAnsi="Times New Roman" w:cs="Times New Roman"/>
          <w:color w:val="000000"/>
        </w:rPr>
        <w:t xml:space="preserve"> 56:879–886.</w:t>
      </w:r>
      <w:r>
        <w:fldChar w:fldCharType="end"/>
      </w:r>
    </w:p>
    <w:p w14:paraId="5E4B33A5"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"http://paperpile.com/b/pirA7c/D2Lq" \h</w:instrText>
      </w:r>
      <w:r>
        <w:fldChar w:fldCharType="separate"/>
      </w:r>
      <w:r>
        <w:rPr>
          <w:rFonts w:ascii="Times New Roman" w:eastAsia="Times New Roman" w:hAnsi="Times New Roman" w:cs="Times New Roman"/>
          <w:color w:val="000000"/>
        </w:rPr>
        <w:t xml:space="preserve">Eitel M, Francis WR, Varoqueaux F, Daraspe J, Osigus H-J, Krebs S, Vargas S, Blum H, Williams GA, Schierwater B, et al. 2018. Comparative genomics and the nature of placozoan species. </w:t>
      </w:r>
      <w:r>
        <w:fldChar w:fldCharType="end"/>
      </w:r>
      <w:r>
        <w:fldChar w:fldCharType="begin"/>
      </w:r>
      <w:r>
        <w:instrText>HYPERLINK "http://paperpile.com/b/pirA7c/D2Lq" \h</w:instrText>
      </w:r>
      <w:r>
        <w:fldChar w:fldCharType="separate"/>
      </w:r>
      <w:r>
        <w:rPr>
          <w:rFonts w:ascii="Times New Roman" w:eastAsia="Times New Roman" w:hAnsi="Times New Roman" w:cs="Times New Roman"/>
          <w:i/>
          <w:color w:val="000000"/>
        </w:rPr>
        <w:t>PLoS Biol.</w:t>
      </w:r>
      <w:r>
        <w:fldChar w:fldCharType="end"/>
      </w:r>
      <w:r>
        <w:fldChar w:fldCharType="begin"/>
      </w:r>
      <w:r>
        <w:instrText>HYPERLINK "http://paperpile.com/b/pirA7c/D2Lq" \h</w:instrText>
      </w:r>
      <w:r>
        <w:fldChar w:fldCharType="separate"/>
      </w:r>
      <w:r>
        <w:rPr>
          <w:rFonts w:ascii="Times New Roman" w:eastAsia="Times New Roman" w:hAnsi="Times New Roman" w:cs="Times New Roman"/>
          <w:color w:val="000000"/>
        </w:rPr>
        <w:t xml:space="preserve"> 16:e2005359.</w:t>
      </w:r>
      <w:r>
        <w:fldChar w:fldCharType="end"/>
      </w:r>
    </w:p>
    <w:p w14:paraId="06093A8E"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rPr>
          <w:rPrChange w:id="206" w:author="Author" w:date="2024-12-27T12:21:00Z" w16du:dateUtc="2024-12-27T11:21:00Z">
            <w:rPr>
              <w:lang w:val="de-DE"/>
            </w:rPr>
          </w:rPrChange>
        </w:rPr>
        <w:instrText>HYPERLINK "http://paperpile.com/b/pirA7c/ZjSx" \h</w:instrText>
      </w:r>
      <w:r>
        <w:fldChar w:fldCharType="separate"/>
      </w:r>
      <w:r>
        <w:rPr>
          <w:rFonts w:ascii="Times New Roman" w:hAnsi="Times New Roman"/>
          <w:color w:val="000000"/>
          <w:rPrChange w:id="207" w:author="Author" w:date="2024-12-27T12:21:00Z" w16du:dateUtc="2024-12-27T11:21:00Z">
            <w:rPr>
              <w:rFonts w:ascii="Times New Roman" w:hAnsi="Times New Roman"/>
              <w:color w:val="000000"/>
              <w:lang w:val="de-DE"/>
            </w:rPr>
          </w:rPrChange>
        </w:rPr>
        <w:t xml:space="preserve">Enattah NS, Sahi T, Savilahti E, Terwilliger JD, Peltonen L, Järvelä I. 2002. </w:t>
      </w:r>
      <w:r>
        <w:rPr>
          <w:rFonts w:ascii="Times New Roman" w:eastAsia="Times New Roman" w:hAnsi="Times New Roman" w:cs="Times New Roman"/>
          <w:color w:val="000000"/>
        </w:rPr>
        <w:t xml:space="preserve">Identification of a variant associated with adult-type hypolactasia. </w:t>
      </w:r>
      <w:r>
        <w:fldChar w:fldCharType="end"/>
      </w:r>
      <w:r>
        <w:fldChar w:fldCharType="begin"/>
      </w:r>
      <w:r>
        <w:instrText>HYPERLINK "http://paperpile.com/b/pirA7c/ZjSx" \h</w:instrText>
      </w:r>
      <w:r>
        <w:fldChar w:fldCharType="separate"/>
      </w:r>
      <w:r>
        <w:rPr>
          <w:rFonts w:ascii="Times New Roman" w:eastAsia="Times New Roman" w:hAnsi="Times New Roman" w:cs="Times New Roman"/>
          <w:i/>
          <w:color w:val="000000"/>
        </w:rPr>
        <w:t>Nat. Genet.</w:t>
      </w:r>
      <w:r>
        <w:fldChar w:fldCharType="end"/>
      </w:r>
      <w:r>
        <w:fldChar w:fldCharType="begin"/>
      </w:r>
      <w:r>
        <w:instrText>HYPERLINK "http://paperpile.com/b/pirA7c/ZjSx" \h</w:instrText>
      </w:r>
      <w:r>
        <w:fldChar w:fldCharType="separate"/>
      </w:r>
      <w:r>
        <w:rPr>
          <w:rFonts w:ascii="Times New Roman" w:eastAsia="Times New Roman" w:hAnsi="Times New Roman" w:cs="Times New Roman"/>
          <w:color w:val="000000"/>
        </w:rPr>
        <w:t xml:space="preserve"> 30:233–237.</w:t>
      </w:r>
      <w:r>
        <w:fldChar w:fldCharType="end"/>
      </w:r>
    </w:p>
    <w:p w14:paraId="2B18057F"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"http://paperpile.com/b/pirA7c/xwp3" \h</w:instrText>
      </w:r>
      <w:r>
        <w:fldChar w:fldCharType="separate"/>
      </w:r>
      <w:r>
        <w:rPr>
          <w:rFonts w:ascii="Times New Roman" w:eastAsia="Times New Roman" w:hAnsi="Times New Roman" w:cs="Times New Roman"/>
          <w:color w:val="000000"/>
        </w:rPr>
        <w:t xml:space="preserve">Engström PG, Ho Sui SJ, Drivenes O, Becker TS, Lenhard B. 2007. Genomic regulatory blocks underlie extensive microsynteny conservation in insects. </w:t>
      </w:r>
      <w:r>
        <w:fldChar w:fldCharType="end"/>
      </w:r>
      <w:r>
        <w:fldChar w:fldCharType="begin"/>
      </w:r>
      <w:r>
        <w:instrText>HYPERLINK "http://paperpile.com/b/pirA7c/xwp3" \h</w:instrText>
      </w:r>
      <w:r>
        <w:fldChar w:fldCharType="separate"/>
      </w:r>
      <w:r>
        <w:rPr>
          <w:rFonts w:ascii="Times New Roman" w:eastAsia="Times New Roman" w:hAnsi="Times New Roman" w:cs="Times New Roman"/>
          <w:i/>
          <w:color w:val="000000"/>
        </w:rPr>
        <w:t>Genome Res.</w:t>
      </w:r>
      <w:r>
        <w:fldChar w:fldCharType="end"/>
      </w:r>
      <w:r>
        <w:fldChar w:fldCharType="begin"/>
      </w:r>
      <w:r>
        <w:instrText>HYPERLINK "http://paperpile.com/b/pirA7c/xwp3" \h</w:instrText>
      </w:r>
      <w:r>
        <w:fldChar w:fldCharType="separate"/>
      </w:r>
      <w:r>
        <w:rPr>
          <w:rFonts w:ascii="Times New Roman" w:eastAsia="Times New Roman" w:hAnsi="Times New Roman" w:cs="Times New Roman"/>
          <w:color w:val="000000"/>
        </w:rPr>
        <w:t xml:space="preserve"> 17:1898–1908.</w:t>
      </w:r>
      <w:r>
        <w:fldChar w:fldCharType="end"/>
      </w:r>
    </w:p>
    <w:p w14:paraId="53979D8C"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"http://paperpile.com/b/pirA7c/bPfh" \h</w:instrText>
      </w:r>
      <w:r>
        <w:fldChar w:fldCharType="separate"/>
      </w:r>
      <w:r>
        <w:rPr>
          <w:rFonts w:ascii="Times New Roman" w:eastAsia="Times New Roman" w:hAnsi="Times New Roman" w:cs="Times New Roman"/>
          <w:color w:val="000000"/>
        </w:rPr>
        <w:t xml:space="preserve">Enright AJ, Van Dongen S, Ouzounis CA. 2002. An efficient algorithm for large-scale detection of protein families. </w:t>
      </w:r>
      <w:r>
        <w:fldChar w:fldCharType="end"/>
      </w:r>
      <w:r>
        <w:fldChar w:fldCharType="begin"/>
      </w:r>
      <w:r>
        <w:instrText>HYPERLINK "http://paperpile.com/b/pirA7c/bPfh" \h</w:instrText>
      </w:r>
      <w:r>
        <w:fldChar w:fldCharType="separate"/>
      </w:r>
      <w:r>
        <w:rPr>
          <w:rFonts w:ascii="Times New Roman" w:eastAsia="Times New Roman" w:hAnsi="Times New Roman" w:cs="Times New Roman"/>
          <w:i/>
          <w:color w:val="000000"/>
        </w:rPr>
        <w:t>Nucleic Acids Res.</w:t>
      </w:r>
      <w:r>
        <w:fldChar w:fldCharType="end"/>
      </w:r>
      <w:r>
        <w:fldChar w:fldCharType="begin"/>
      </w:r>
      <w:r>
        <w:instrText>HYPERLINK "http://paperpile.com/b/pirA7c/bPfh" \h</w:instrText>
      </w:r>
      <w:r>
        <w:fldChar w:fldCharType="separate"/>
      </w:r>
      <w:r>
        <w:rPr>
          <w:rFonts w:ascii="Times New Roman" w:eastAsia="Times New Roman" w:hAnsi="Times New Roman" w:cs="Times New Roman"/>
          <w:color w:val="000000"/>
        </w:rPr>
        <w:t xml:space="preserve"> 30:1575–1584.</w:t>
      </w:r>
      <w:r>
        <w:fldChar w:fldCharType="end"/>
      </w:r>
    </w:p>
    <w:p w14:paraId="7A83D77A"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"http://paperpile.com/b/pirA7c/82mt" \h</w:instrText>
      </w:r>
      <w:r>
        <w:fldChar w:fldCharType="separate"/>
      </w:r>
      <w:r>
        <w:rPr>
          <w:rFonts w:ascii="Times New Roman" w:eastAsia="Times New Roman" w:hAnsi="Times New Roman" w:cs="Times New Roman"/>
          <w:color w:val="000000"/>
        </w:rPr>
        <w:t xml:space="preserve">Francis WR, Eitel M, Vargas S, Garcia-Escudero CA, Conci N, Deister F, Mah JL, Guiglielmoni N, Krebs S, Blum H, et al. 2023. The genome of the reef-building glass sponge </w:t>
      </w:r>
      <w:r>
        <w:fldChar w:fldCharType="end"/>
      </w:r>
      <w:r>
        <w:fldChar w:fldCharType="begin"/>
      </w:r>
      <w:r>
        <w:instrText>HYPERLINK "http://paperpile.com/b/pirA7c/82mt" \h</w:instrText>
      </w:r>
      <w:r>
        <w:fldChar w:fldCharType="separate"/>
      </w:r>
      <w:r>
        <w:rPr>
          <w:rFonts w:ascii="Times New Roman" w:eastAsia="Times New Roman" w:hAnsi="Times New Roman" w:cs="Times New Roman"/>
          <w:i/>
          <w:color w:val="000000"/>
        </w:rPr>
        <w:t>Aphrocallistes vastus</w:t>
      </w:r>
      <w:r>
        <w:fldChar w:fldCharType="end"/>
      </w:r>
      <w:r>
        <w:fldChar w:fldCharType="begin"/>
      </w:r>
      <w:r>
        <w:instrText>HYPERLINK "http://paperpile.com/b/pirA7c/82mt" \h</w:instrText>
      </w:r>
      <w:r>
        <w:fldChar w:fldCharType="separate"/>
      </w:r>
      <w:r>
        <w:rPr>
          <w:rFonts w:ascii="Times New Roman" w:eastAsia="Times New Roman" w:hAnsi="Times New Roman" w:cs="Times New Roman"/>
          <w:color w:val="000000"/>
        </w:rPr>
        <w:t xml:space="preserve"> provides insights into silica biomineralization. </w:t>
      </w:r>
      <w:r>
        <w:fldChar w:fldCharType="end"/>
      </w:r>
      <w:r>
        <w:fldChar w:fldCharType="begin"/>
      </w:r>
      <w:r>
        <w:instrText>HYPERLINK "http://paperpile.com/b/pirA7c/82mt" \h</w:instrText>
      </w:r>
      <w:r>
        <w:fldChar w:fldCharType="separate"/>
      </w:r>
      <w:r>
        <w:rPr>
          <w:rFonts w:ascii="Times New Roman" w:eastAsia="Times New Roman" w:hAnsi="Times New Roman" w:cs="Times New Roman"/>
          <w:i/>
          <w:color w:val="000000"/>
        </w:rPr>
        <w:t>R Soc Open Sci</w:t>
      </w:r>
      <w:r>
        <w:fldChar w:fldCharType="end"/>
      </w:r>
      <w:r>
        <w:fldChar w:fldCharType="begin"/>
      </w:r>
      <w:r>
        <w:instrText>HYPERLINK "http://paperpile.com/b/pirA7c/82mt" \h</w:instrText>
      </w:r>
      <w:r>
        <w:fldChar w:fldCharType="separate"/>
      </w:r>
      <w:r>
        <w:rPr>
          <w:rFonts w:ascii="Times New Roman" w:eastAsia="Times New Roman" w:hAnsi="Times New Roman" w:cs="Times New Roman"/>
          <w:color w:val="000000"/>
        </w:rPr>
        <w:t xml:space="preserve"> 10:230423.</w:t>
      </w:r>
      <w:r>
        <w:fldChar w:fldCharType="end"/>
      </w:r>
    </w:p>
    <w:p w14:paraId="2EEE586F" w14:textId="77777777" w:rsidR="00EF30E6" w:rsidRDefault="00000000">
      <w:pPr>
        <w:widowControl w:val="0"/>
        <w:pBdr>
          <w:top w:val="nil"/>
          <w:left w:val="nil"/>
          <w:bottom w:val="nil"/>
          <w:right w:val="nil"/>
          <w:between w:val="nil"/>
        </w:pBdr>
        <w:spacing w:after="220" w:line="240" w:lineRule="auto"/>
        <w:ind w:left="440" w:hanging="440"/>
        <w:rPr>
          <w:rFonts w:ascii="Times New Roman" w:hAnsi="Times New Roman"/>
          <w:rPrChange w:id="208" w:author="Author" w:date="2024-12-27T12:21:00Z" w16du:dateUtc="2024-12-27T11:21:00Z">
            <w:rPr>
              <w:rFonts w:ascii="Times New Roman" w:hAnsi="Times New Roman"/>
              <w:color w:val="000000"/>
            </w:rPr>
          </w:rPrChange>
        </w:rPr>
      </w:pPr>
      <w:r>
        <w:fldChar w:fldCharType="begin"/>
      </w:r>
      <w:r>
        <w:instrText>HYPERLINK "http://paperpile.com/b/pirA7c/t4h6" \h</w:instrText>
      </w:r>
      <w:r>
        <w:fldChar w:fldCharType="separate"/>
      </w:r>
      <w:r>
        <w:rPr>
          <w:rFonts w:ascii="Times New Roman" w:eastAsia="Times New Roman" w:hAnsi="Times New Roman" w:cs="Times New Roman"/>
          <w:color w:val="000000"/>
        </w:rPr>
        <w:t xml:space="preserve">Francis WR, Wörheide G. 2017. Similar Ratios of Introns to Intergenic Sequence across Animal Genomes. </w:t>
      </w:r>
      <w:r>
        <w:fldChar w:fldCharType="end"/>
      </w:r>
      <w:r>
        <w:fldChar w:fldCharType="begin"/>
      </w:r>
      <w:r>
        <w:instrText>HYPERLINK "http://paperpile.com/b/pirA7c/t4h6" \h</w:instrText>
      </w:r>
      <w:r>
        <w:fldChar w:fldCharType="separate"/>
      </w:r>
      <w:r>
        <w:rPr>
          <w:rFonts w:ascii="Times New Roman" w:eastAsia="Times New Roman" w:hAnsi="Times New Roman" w:cs="Times New Roman"/>
          <w:i/>
          <w:color w:val="000000"/>
        </w:rPr>
        <w:t>Genome Biol. Evol.</w:t>
      </w:r>
      <w:r>
        <w:fldChar w:fldCharType="end"/>
      </w:r>
      <w:r>
        <w:fldChar w:fldCharType="begin"/>
      </w:r>
      <w:r>
        <w:instrText>HYPERLINK "http://paperpile.com/b/pirA7c/t4h6" \h</w:instrText>
      </w:r>
      <w:r>
        <w:fldChar w:fldCharType="separate"/>
      </w:r>
      <w:r>
        <w:rPr>
          <w:rFonts w:ascii="Times New Roman" w:eastAsia="Times New Roman" w:hAnsi="Times New Roman" w:cs="Times New Roman"/>
          <w:color w:val="000000"/>
        </w:rPr>
        <w:t xml:space="preserve"> 9:1582–1598.</w:t>
      </w:r>
      <w:r>
        <w:fldChar w:fldCharType="end"/>
      </w:r>
    </w:p>
    <w:p w14:paraId="08C37092" w14:textId="77777777" w:rsidR="00EF30E6" w:rsidRDefault="00000000">
      <w:pPr>
        <w:widowControl w:val="0"/>
        <w:spacing w:after="220" w:line="240" w:lineRule="auto"/>
        <w:ind w:left="440"/>
        <w:rPr>
          <w:ins w:id="209" w:author="Author" w:date="2024-12-27T12:21:00Z" w16du:dateUtc="2024-12-27T11:21:00Z"/>
          <w:rFonts w:ascii="Times New Roman" w:eastAsia="Times New Roman" w:hAnsi="Times New Roman" w:cs="Times New Roman"/>
        </w:rPr>
      </w:pPr>
      <w:ins w:id="210" w:author="Author" w:date="2024-12-27T12:21:00Z" w16du:dateUtc="2024-12-27T11:21:00Z">
        <w:r>
          <w:fldChar w:fldCharType="begin"/>
        </w:r>
        <w:r>
          <w:instrText>HYPERLINK "http://paperpile.com/b/pirA7c/t4h6" \h</w:instrText>
        </w:r>
        <w:r>
          <w:fldChar w:fldCharType="separate"/>
        </w:r>
        <w:r>
          <w:rPr>
            <w:rFonts w:ascii="Times New Roman" w:eastAsia="Times New Roman" w:hAnsi="Times New Roman" w:cs="Times New Roman"/>
          </w:rPr>
          <w:t xml:space="preserve">Francis WR, Vargas, S. Wörheide G. </w:t>
        </w:r>
        <w:r>
          <w:fldChar w:fldCharType="end"/>
        </w:r>
        <w:r>
          <w:rPr>
            <w:rFonts w:ascii="Times New Roman" w:eastAsia="Times New Roman" w:hAnsi="Times New Roman" w:cs="Times New Roman"/>
          </w:rPr>
          <w:t>2024. Supplementary information to “Genomic changes are varied across congeneric species pairs”</w:t>
        </w:r>
        <w:r>
          <w:rPr>
            <w:rFonts w:ascii="Times New Roman" w:eastAsia="Times New Roman" w:hAnsi="Times New Roman" w:cs="Times New Roman"/>
            <w:color w:val="444746"/>
            <w:highlight w:val="white"/>
          </w:rPr>
          <w:t xml:space="preserve"> </w:t>
        </w:r>
        <w:r>
          <w:rPr>
            <w:rFonts w:ascii="Times New Roman" w:eastAsia="Times New Roman" w:hAnsi="Times New Roman" w:cs="Times New Roman"/>
            <w:highlight w:val="white"/>
          </w:rPr>
          <w:t>available from https://github.com/PalMuc/congeneric_synteny/tree/main/supplements_for_paper</w:t>
        </w:r>
      </w:ins>
    </w:p>
    <w:p w14:paraId="4CC24723"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"http://paperpile.com/b/pirA7c/Lbji" \h</w:instrText>
      </w:r>
      <w:r>
        <w:fldChar w:fldCharType="separate"/>
      </w:r>
      <w:r>
        <w:rPr>
          <w:rFonts w:ascii="Times New Roman" w:eastAsia="Times New Roman" w:hAnsi="Times New Roman" w:cs="Times New Roman"/>
          <w:color w:val="000000"/>
        </w:rPr>
        <w:t xml:space="preserve">Frankham R, Ballou JD, Dudash MR, Eldridge MDB, Fenster CB, Lacy RC, Mendelson JR, Porton IJ, Ralls K, Ryder OA. 2012. Implications of different species concepts for conserving biodiversity. </w:t>
      </w:r>
      <w:r>
        <w:fldChar w:fldCharType="end"/>
      </w:r>
      <w:r>
        <w:fldChar w:fldCharType="begin"/>
      </w:r>
      <w:r>
        <w:instrText>HYPERLINK "http://paperpile.com/b/pirA7c/Lbji" \h</w:instrText>
      </w:r>
      <w:r>
        <w:fldChar w:fldCharType="separate"/>
      </w:r>
      <w:r>
        <w:rPr>
          <w:rFonts w:ascii="Times New Roman" w:eastAsia="Times New Roman" w:hAnsi="Times New Roman" w:cs="Times New Roman"/>
          <w:i/>
          <w:color w:val="000000"/>
        </w:rPr>
        <w:t>Biol. Conserv.</w:t>
      </w:r>
      <w:r>
        <w:fldChar w:fldCharType="end"/>
      </w:r>
      <w:r>
        <w:fldChar w:fldCharType="begin"/>
      </w:r>
      <w:r>
        <w:instrText>HYPERLINK "http://paperpile.com/b/pirA7c/Lbji" \h</w:instrText>
      </w:r>
      <w:r>
        <w:fldChar w:fldCharType="separate"/>
      </w:r>
      <w:r>
        <w:rPr>
          <w:rFonts w:ascii="Times New Roman" w:eastAsia="Times New Roman" w:hAnsi="Times New Roman" w:cs="Times New Roman"/>
          <w:color w:val="000000"/>
        </w:rPr>
        <w:t xml:space="preserve"> 153:25–31.</w:t>
      </w:r>
      <w:r>
        <w:fldChar w:fldCharType="end"/>
      </w:r>
    </w:p>
    <w:p w14:paraId="542FE919"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"http://paperpile.com/b/pirA7c/osjm" \h</w:instrText>
      </w:r>
      <w:r>
        <w:fldChar w:fldCharType="separate"/>
      </w:r>
      <w:r>
        <w:rPr>
          <w:rFonts w:ascii="Times New Roman" w:eastAsia="Times New Roman" w:hAnsi="Times New Roman" w:cs="Times New Roman"/>
          <w:color w:val="000000"/>
        </w:rPr>
        <w:t xml:space="preserve">Ghiselin MT. 2010. Species Concepts. </w:t>
      </w:r>
      <w:r>
        <w:fldChar w:fldCharType="end"/>
      </w:r>
      <w:r>
        <w:fldChar w:fldCharType="begin"/>
      </w:r>
      <w:r>
        <w:instrText>HYPERLINK "http://paperpile.com/b/pirA7c/osjm" \h</w:instrText>
      </w:r>
      <w:r>
        <w:fldChar w:fldCharType="separate"/>
      </w:r>
      <w:r>
        <w:rPr>
          <w:rFonts w:ascii="Times New Roman" w:eastAsia="Times New Roman" w:hAnsi="Times New Roman" w:cs="Times New Roman"/>
          <w:i/>
          <w:color w:val="000000"/>
        </w:rPr>
        <w:t>eLS</w:t>
      </w:r>
      <w:r>
        <w:fldChar w:fldCharType="end"/>
      </w:r>
      <w:r>
        <w:fldChar w:fldCharType="begin"/>
      </w:r>
      <w:r>
        <w:instrText>HYPERLINK "http://paperpile.com/b/pirA7c/osjm" \h</w:instrText>
      </w:r>
      <w:r>
        <w:fldChar w:fldCharType="separate"/>
      </w:r>
      <w:r>
        <w:rPr>
          <w:rFonts w:ascii="Times New Roman" w:eastAsia="Times New Roman" w:hAnsi="Times New Roman" w:cs="Times New Roman"/>
          <w:color w:val="000000"/>
        </w:rPr>
        <w:t xml:space="preserve"> [Internet]. Available from: </w:t>
      </w:r>
      <w:r>
        <w:fldChar w:fldCharType="end"/>
      </w:r>
      <w:r>
        <w:fldChar w:fldCharType="begin"/>
      </w:r>
      <w:r>
        <w:instrText>HYPERLINK "https://onlinelibrary.wiley.com/doi/10.1002/9780470015902.a0001744.pub2" \h</w:instrText>
      </w:r>
      <w:r>
        <w:fldChar w:fldCharType="separate"/>
      </w:r>
      <w:r>
        <w:rPr>
          <w:rFonts w:ascii="Times New Roman" w:eastAsia="Times New Roman" w:hAnsi="Times New Roman" w:cs="Times New Roman"/>
          <w:color w:val="000000"/>
        </w:rPr>
        <w:t>https://onlinelibrary.wiley.com/doi/10.1002/9780470015902.a0001744.pub2</w:t>
      </w:r>
      <w:r>
        <w:fldChar w:fldCharType="end"/>
      </w:r>
    </w:p>
    <w:p w14:paraId="4D0E46B0"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"http://paperpile.com/b/pirA7c/6DMt" \h</w:instrText>
      </w:r>
      <w:r>
        <w:fldChar w:fldCharType="separate"/>
      </w:r>
      <w:r>
        <w:rPr>
          <w:rFonts w:ascii="Times New Roman" w:eastAsia="Times New Roman" w:hAnsi="Times New Roman" w:cs="Times New Roman"/>
          <w:color w:val="000000"/>
        </w:rPr>
        <w:t xml:space="preserve">Hausdorf B. 2011. Progress toward a general species concept. </w:t>
      </w:r>
      <w:r>
        <w:fldChar w:fldCharType="end"/>
      </w:r>
      <w:r>
        <w:fldChar w:fldCharType="begin"/>
      </w:r>
      <w:r>
        <w:instrText>HYPERLINK "http://paperpile.com/b/pirA7c/6DMt" \h</w:instrText>
      </w:r>
      <w:r>
        <w:fldChar w:fldCharType="separate"/>
      </w:r>
      <w:r>
        <w:rPr>
          <w:rFonts w:ascii="Times New Roman" w:eastAsia="Times New Roman" w:hAnsi="Times New Roman" w:cs="Times New Roman"/>
          <w:i/>
          <w:color w:val="000000"/>
        </w:rPr>
        <w:t>Evolution</w:t>
      </w:r>
      <w:r>
        <w:fldChar w:fldCharType="end"/>
      </w:r>
      <w:r>
        <w:fldChar w:fldCharType="begin"/>
      </w:r>
      <w:r>
        <w:instrText>HYPERLINK "http://paperpile.com/b/pirA7c/6DMt" \h</w:instrText>
      </w:r>
      <w:r>
        <w:fldChar w:fldCharType="separate"/>
      </w:r>
      <w:r>
        <w:rPr>
          <w:rFonts w:ascii="Times New Roman" w:eastAsia="Times New Roman" w:hAnsi="Times New Roman" w:cs="Times New Roman"/>
          <w:color w:val="000000"/>
        </w:rPr>
        <w:t xml:space="preserve"> 65:923–931.</w:t>
      </w:r>
      <w:r>
        <w:fldChar w:fldCharType="end"/>
      </w:r>
    </w:p>
    <w:p w14:paraId="37BAA947"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"http://paperpile.com/b/pirA7c/OUFP" \h</w:instrText>
      </w:r>
      <w:r>
        <w:fldChar w:fldCharType="separate"/>
      </w:r>
      <w:r>
        <w:rPr>
          <w:rFonts w:ascii="Times New Roman" w:eastAsia="Times New Roman" w:hAnsi="Times New Roman" w:cs="Times New Roman"/>
          <w:color w:val="000000"/>
        </w:rPr>
        <w:t xml:space="preserve">Hendricks JR, Saupe EE, Myers CE, Hermsen EJ, Allmon WD. 2014. The Generification of the Fossil Record. </w:t>
      </w:r>
      <w:r>
        <w:fldChar w:fldCharType="end"/>
      </w:r>
      <w:r>
        <w:fldChar w:fldCharType="begin"/>
      </w:r>
      <w:r>
        <w:instrText>HYPERLINK "http://paperpile.com/b/pirA7c/OUFP" \h</w:instrText>
      </w:r>
      <w:r>
        <w:fldChar w:fldCharType="separate"/>
      </w:r>
      <w:r>
        <w:rPr>
          <w:rFonts w:ascii="Times New Roman" w:eastAsia="Times New Roman" w:hAnsi="Times New Roman" w:cs="Times New Roman"/>
          <w:i/>
          <w:color w:val="000000"/>
        </w:rPr>
        <w:t>Paleobiology</w:t>
      </w:r>
      <w:r>
        <w:fldChar w:fldCharType="end"/>
      </w:r>
      <w:r>
        <w:fldChar w:fldCharType="begin"/>
      </w:r>
      <w:r>
        <w:instrText>HYPERLINK "http://paperpile.com/b/pirA7c/OUFP" \h</w:instrText>
      </w:r>
      <w:r>
        <w:fldChar w:fldCharType="separate"/>
      </w:r>
      <w:r>
        <w:rPr>
          <w:rFonts w:ascii="Times New Roman" w:eastAsia="Times New Roman" w:hAnsi="Times New Roman" w:cs="Times New Roman"/>
          <w:color w:val="000000"/>
        </w:rPr>
        <w:t xml:space="preserve"> 40:511–528.</w:t>
      </w:r>
      <w:r>
        <w:fldChar w:fldCharType="end"/>
      </w:r>
    </w:p>
    <w:p w14:paraId="0EFCCC62"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"http://paperpile.com/b/pirA7c/rqtN" \h</w:instrText>
      </w:r>
      <w:r>
        <w:fldChar w:fldCharType="separate"/>
      </w:r>
      <w:r>
        <w:rPr>
          <w:rFonts w:ascii="Times New Roman" w:eastAsia="Times New Roman" w:hAnsi="Times New Roman" w:cs="Times New Roman"/>
          <w:color w:val="000000"/>
        </w:rPr>
        <w:t xml:space="preserve">Hey J, Waples RS, Arnold ML, Butlin RK, Harrison RG. 2003. Understanding and confronting species uncertainty in biology and conservation. </w:t>
      </w:r>
      <w:r>
        <w:fldChar w:fldCharType="end"/>
      </w:r>
      <w:r>
        <w:fldChar w:fldCharType="begin"/>
      </w:r>
      <w:r>
        <w:instrText>HYPERLINK "http://paperpile.com/b/pirA7c/rqtN" \h</w:instrText>
      </w:r>
      <w:r>
        <w:fldChar w:fldCharType="separate"/>
      </w:r>
      <w:r>
        <w:rPr>
          <w:rFonts w:ascii="Times New Roman" w:eastAsia="Times New Roman" w:hAnsi="Times New Roman" w:cs="Times New Roman"/>
          <w:i/>
          <w:color w:val="000000"/>
        </w:rPr>
        <w:t>Trends Ecol. Evol.</w:t>
      </w:r>
      <w:r>
        <w:fldChar w:fldCharType="end"/>
      </w:r>
      <w:r>
        <w:fldChar w:fldCharType="begin"/>
      </w:r>
      <w:r>
        <w:instrText>HYPERLINK "http://paperpile.com/b/pirA7c/rqtN" \h</w:instrText>
      </w:r>
      <w:r>
        <w:fldChar w:fldCharType="separate"/>
      </w:r>
      <w:r>
        <w:rPr>
          <w:rFonts w:ascii="Times New Roman" w:eastAsia="Times New Roman" w:hAnsi="Times New Roman" w:cs="Times New Roman"/>
          <w:color w:val="000000"/>
        </w:rPr>
        <w:t xml:space="preserve"> 18:597–603.</w:t>
      </w:r>
      <w:r>
        <w:fldChar w:fldCharType="end"/>
      </w:r>
    </w:p>
    <w:p w14:paraId="133978F0"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"http://paperpile.com/b/pirA7c/d48J" \h</w:instrText>
      </w:r>
      <w:r>
        <w:fldChar w:fldCharType="separate"/>
      </w:r>
      <w:r>
        <w:rPr>
          <w:rFonts w:ascii="Times New Roman" w:eastAsia="Times New Roman" w:hAnsi="Times New Roman" w:cs="Times New Roman"/>
          <w:color w:val="000000"/>
        </w:rPr>
        <w:t>Jiang JB, Quattrini AM, Francis WR, Ryan JF, Rodríguez E, McFadden CS. 2019. A hybrid de novo assembly of the sea pansy (</w:t>
      </w:r>
      <w:r>
        <w:fldChar w:fldCharType="end"/>
      </w:r>
      <w:r>
        <w:fldChar w:fldCharType="begin"/>
      </w:r>
      <w:r>
        <w:instrText>HYPERLINK "http://paperpile.com/b/pirA7c/d48J" \h</w:instrText>
      </w:r>
      <w:r>
        <w:fldChar w:fldCharType="separate"/>
      </w:r>
      <w:r>
        <w:rPr>
          <w:rFonts w:ascii="Times New Roman" w:eastAsia="Times New Roman" w:hAnsi="Times New Roman" w:cs="Times New Roman"/>
          <w:i/>
          <w:color w:val="000000"/>
        </w:rPr>
        <w:t>Renilla muelleri</w:t>
      </w:r>
      <w:r>
        <w:fldChar w:fldCharType="end"/>
      </w:r>
      <w:r>
        <w:fldChar w:fldCharType="begin"/>
      </w:r>
      <w:r>
        <w:instrText>HYPERLINK "http://paperpile.com/b/pirA7c/d48J" \h</w:instrText>
      </w:r>
      <w:r>
        <w:fldChar w:fldCharType="separate"/>
      </w:r>
      <w:r>
        <w:rPr>
          <w:rFonts w:ascii="Times New Roman" w:eastAsia="Times New Roman" w:hAnsi="Times New Roman" w:cs="Times New Roman"/>
          <w:color w:val="000000"/>
        </w:rPr>
        <w:t xml:space="preserve">) genome. </w:t>
      </w:r>
      <w:r>
        <w:fldChar w:fldCharType="end"/>
      </w:r>
      <w:r>
        <w:fldChar w:fldCharType="begin"/>
      </w:r>
      <w:r>
        <w:instrText>HYPERLINK "http://paperpile.com/b/pirA7c/d48J" \h</w:instrText>
      </w:r>
      <w:r>
        <w:fldChar w:fldCharType="separate"/>
      </w:r>
      <w:r>
        <w:rPr>
          <w:rFonts w:ascii="Times New Roman" w:eastAsia="Times New Roman" w:hAnsi="Times New Roman" w:cs="Times New Roman"/>
          <w:i/>
          <w:color w:val="000000"/>
        </w:rPr>
        <w:t>Gigascience</w:t>
      </w:r>
      <w:r>
        <w:fldChar w:fldCharType="end"/>
      </w:r>
      <w:r>
        <w:fldChar w:fldCharType="begin"/>
      </w:r>
      <w:r>
        <w:instrText>HYPERLINK "http://paperpile.com/b/pirA7c/d48J" \h</w:instrText>
      </w:r>
      <w:r>
        <w:fldChar w:fldCharType="separate"/>
      </w:r>
      <w:r>
        <w:rPr>
          <w:rFonts w:ascii="Times New Roman" w:eastAsia="Times New Roman" w:hAnsi="Times New Roman" w:cs="Times New Roman"/>
          <w:color w:val="000000"/>
        </w:rPr>
        <w:t xml:space="preserve"> 8:giz026.</w:t>
      </w:r>
      <w:r>
        <w:fldChar w:fldCharType="end"/>
      </w:r>
    </w:p>
    <w:p w14:paraId="1EE13E8B"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"http://paperpile.com/b/pirA7c/95GJ" \h</w:instrText>
      </w:r>
      <w:r>
        <w:fldChar w:fldCharType="separate"/>
      </w:r>
      <w:r>
        <w:rPr>
          <w:rFonts w:ascii="Times New Roman" w:eastAsia="Times New Roman" w:hAnsi="Times New Roman" w:cs="Times New Roman"/>
          <w:color w:val="000000"/>
        </w:rPr>
        <w:t xml:space="preserve">Katoh K, Standley DM. 2013. MAFFT multiple sequence alignment software version 7: improvements in performance and usability. </w:t>
      </w:r>
      <w:r>
        <w:fldChar w:fldCharType="end"/>
      </w:r>
      <w:r>
        <w:fldChar w:fldCharType="begin"/>
      </w:r>
      <w:r>
        <w:instrText>HYPERLINK "http://paperpile.com/b/pirA7c/95GJ" \h</w:instrText>
      </w:r>
      <w:r>
        <w:fldChar w:fldCharType="separate"/>
      </w:r>
      <w:r>
        <w:rPr>
          <w:rFonts w:ascii="Times New Roman" w:eastAsia="Times New Roman" w:hAnsi="Times New Roman" w:cs="Times New Roman"/>
          <w:i/>
          <w:color w:val="000000"/>
        </w:rPr>
        <w:t>Mol. Biol. Evol.</w:t>
      </w:r>
      <w:r>
        <w:fldChar w:fldCharType="end"/>
      </w:r>
      <w:r>
        <w:fldChar w:fldCharType="begin"/>
      </w:r>
      <w:r>
        <w:instrText>HYPERLINK "http://paperpile.com/b/pirA7c/95GJ" \h</w:instrText>
      </w:r>
      <w:r>
        <w:fldChar w:fldCharType="separate"/>
      </w:r>
      <w:r>
        <w:rPr>
          <w:rFonts w:ascii="Times New Roman" w:eastAsia="Times New Roman" w:hAnsi="Times New Roman" w:cs="Times New Roman"/>
          <w:color w:val="000000"/>
        </w:rPr>
        <w:t xml:space="preserve"> 30:772–780.</w:t>
      </w:r>
      <w:r>
        <w:fldChar w:fldCharType="end"/>
      </w:r>
    </w:p>
    <w:p w14:paraId="42292C8B"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"http://paperpile.com/b/pirA7c/4QQi" \h</w:instrText>
      </w:r>
      <w:r>
        <w:fldChar w:fldCharType="separate"/>
      </w:r>
      <w:r>
        <w:rPr>
          <w:rFonts w:ascii="Times New Roman" w:eastAsia="Times New Roman" w:hAnsi="Times New Roman" w:cs="Times New Roman"/>
          <w:color w:val="000000"/>
        </w:rPr>
        <w:t xml:space="preserve">Kenny NJ, Francis WR, Rivera-Vicéns RE, Juravel K, de Mendoza A, Díez-Vives C, Lister R, Bezares-Calderón LA, Grombacher L, Roller M, et al. 2020. Tracing animal genomic evolution with the chromosomal-level assembly of the freshwater sponge </w:t>
      </w:r>
      <w:r>
        <w:fldChar w:fldCharType="end"/>
      </w:r>
      <w:r>
        <w:fldChar w:fldCharType="begin"/>
      </w:r>
      <w:r>
        <w:instrText>HYPERLINK "http://paperpile.com/b/pirA7c/4QQi" \h</w:instrText>
      </w:r>
      <w:r>
        <w:fldChar w:fldCharType="separate"/>
      </w:r>
      <w:r>
        <w:rPr>
          <w:rFonts w:ascii="Times New Roman" w:eastAsia="Times New Roman" w:hAnsi="Times New Roman" w:cs="Times New Roman"/>
          <w:i/>
          <w:color w:val="000000"/>
        </w:rPr>
        <w:t>Ephydatia muelleri</w:t>
      </w:r>
      <w:r>
        <w:fldChar w:fldCharType="end"/>
      </w:r>
      <w:r>
        <w:fldChar w:fldCharType="begin"/>
      </w:r>
      <w:r>
        <w:instrText>HYPERLINK "http://paperpile.com/b/pirA7c/4QQi" \h</w:instrText>
      </w:r>
      <w:r>
        <w:fldChar w:fldCharType="separate"/>
      </w:r>
      <w:r>
        <w:rPr>
          <w:rFonts w:ascii="Times New Roman" w:eastAsia="Times New Roman" w:hAnsi="Times New Roman" w:cs="Times New Roman"/>
          <w:color w:val="000000"/>
        </w:rPr>
        <w:t xml:space="preserve">. </w:t>
      </w:r>
      <w:r>
        <w:fldChar w:fldCharType="end"/>
      </w:r>
      <w:r>
        <w:fldChar w:fldCharType="begin"/>
      </w:r>
      <w:r>
        <w:instrText>HYPERLINK "http://paperpile.com/b/pirA7c/4QQi" \h</w:instrText>
      </w:r>
      <w:r>
        <w:fldChar w:fldCharType="separate"/>
      </w:r>
      <w:r>
        <w:rPr>
          <w:rFonts w:ascii="Times New Roman" w:eastAsia="Times New Roman" w:hAnsi="Times New Roman" w:cs="Times New Roman"/>
          <w:i/>
          <w:color w:val="000000"/>
        </w:rPr>
        <w:t>Nat. Commun.</w:t>
      </w:r>
      <w:r>
        <w:fldChar w:fldCharType="end"/>
      </w:r>
      <w:r>
        <w:fldChar w:fldCharType="begin"/>
      </w:r>
      <w:r>
        <w:instrText>HYPERLINK "http://paperpile.com/b/pirA7c/4QQi" \h</w:instrText>
      </w:r>
      <w:r>
        <w:fldChar w:fldCharType="separate"/>
      </w:r>
      <w:r>
        <w:rPr>
          <w:rFonts w:ascii="Times New Roman" w:eastAsia="Times New Roman" w:hAnsi="Times New Roman" w:cs="Times New Roman"/>
          <w:color w:val="000000"/>
        </w:rPr>
        <w:t xml:space="preserve"> 11:1–11.</w:t>
      </w:r>
      <w:r>
        <w:fldChar w:fldCharType="end"/>
      </w:r>
    </w:p>
    <w:p w14:paraId="409EA65D"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"http://paperpile.com/b/pirA7c/GrRb" \h</w:instrText>
      </w:r>
      <w:r>
        <w:fldChar w:fldCharType="separate"/>
      </w:r>
      <w:r>
        <w:rPr>
          <w:rFonts w:ascii="Times New Roman" w:eastAsia="Times New Roman" w:hAnsi="Times New Roman" w:cs="Times New Roman"/>
          <w:color w:val="000000"/>
        </w:rPr>
        <w:t xml:space="preserve">Khalturin K, Shinzato C, Khalturina M, Hamada M, Fujie M, Koyanagi R, Kanda M, Goto H, Anton-Erxleben F, Toyokawa M, et al. 2019. Medusozoan genomes inform the evolution of the jellyfish </w:t>
      </w:r>
      <w:r>
        <w:rPr>
          <w:rFonts w:ascii="Times New Roman" w:eastAsia="Times New Roman" w:hAnsi="Times New Roman" w:cs="Times New Roman"/>
          <w:color w:val="000000"/>
        </w:rPr>
        <w:lastRenderedPageBreak/>
        <w:t xml:space="preserve">body plan. </w:t>
      </w:r>
      <w:r>
        <w:fldChar w:fldCharType="end"/>
      </w:r>
      <w:r>
        <w:fldChar w:fldCharType="begin"/>
      </w:r>
      <w:r>
        <w:instrText>HYPERLINK "http://paperpile.com/b/pirA7c/GrRb" \h</w:instrText>
      </w:r>
      <w:r>
        <w:fldChar w:fldCharType="separate"/>
      </w:r>
      <w:r>
        <w:rPr>
          <w:rFonts w:ascii="Times New Roman" w:eastAsia="Times New Roman" w:hAnsi="Times New Roman" w:cs="Times New Roman"/>
          <w:i/>
          <w:color w:val="000000"/>
        </w:rPr>
        <w:t>Nat Ecol Evol</w:t>
      </w:r>
      <w:r>
        <w:fldChar w:fldCharType="end"/>
      </w:r>
      <w:r>
        <w:fldChar w:fldCharType="begin"/>
      </w:r>
      <w:r>
        <w:instrText>HYPERLINK "http://paperpile.com/b/pirA7c/GrRb" \h</w:instrText>
      </w:r>
      <w:r>
        <w:fldChar w:fldCharType="separate"/>
      </w:r>
      <w:r>
        <w:rPr>
          <w:rFonts w:ascii="Times New Roman" w:eastAsia="Times New Roman" w:hAnsi="Times New Roman" w:cs="Times New Roman"/>
          <w:color w:val="000000"/>
        </w:rPr>
        <w:t xml:space="preserve"> 3:811–822.</w:t>
      </w:r>
      <w:r>
        <w:fldChar w:fldCharType="end"/>
      </w:r>
    </w:p>
    <w:p w14:paraId="21611DC5"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"http://paperpile.com/b/pirA7c/IGtj" \h</w:instrText>
      </w:r>
      <w:r>
        <w:fldChar w:fldCharType="separate"/>
      </w:r>
      <w:r>
        <w:rPr>
          <w:rFonts w:ascii="Times New Roman" w:eastAsia="Times New Roman" w:hAnsi="Times New Roman" w:cs="Times New Roman"/>
          <w:color w:val="000000"/>
        </w:rPr>
        <w:t xml:space="preserve">Kikuta H, Laplante M, Navratilova P, Komisarczuk AZ, Engström PG, Fredman D, Akalin A, Caccamo M, Sealy I, Howe K, et al. 2007. Genomic regulatory blocks encompass multiple neighboring genes and maintain conserved synteny in vertebrates. </w:t>
      </w:r>
      <w:r>
        <w:fldChar w:fldCharType="end"/>
      </w:r>
      <w:r>
        <w:fldChar w:fldCharType="begin"/>
      </w:r>
      <w:r>
        <w:instrText>HYPERLINK "http://paperpile.com/b/pirA7c/IGtj" \h</w:instrText>
      </w:r>
      <w:r>
        <w:fldChar w:fldCharType="separate"/>
      </w:r>
      <w:r>
        <w:rPr>
          <w:rFonts w:ascii="Times New Roman" w:eastAsia="Times New Roman" w:hAnsi="Times New Roman" w:cs="Times New Roman"/>
          <w:i/>
          <w:color w:val="000000"/>
        </w:rPr>
        <w:t>Genome Res.</w:t>
      </w:r>
      <w:r>
        <w:fldChar w:fldCharType="end"/>
      </w:r>
      <w:r>
        <w:fldChar w:fldCharType="begin"/>
      </w:r>
      <w:r>
        <w:instrText>HYPERLINK "http://paperpile.com/b/pirA7c/IGtj" \h</w:instrText>
      </w:r>
      <w:r>
        <w:fldChar w:fldCharType="separate"/>
      </w:r>
      <w:r>
        <w:rPr>
          <w:rFonts w:ascii="Times New Roman" w:eastAsia="Times New Roman" w:hAnsi="Times New Roman" w:cs="Times New Roman"/>
          <w:color w:val="000000"/>
        </w:rPr>
        <w:t xml:space="preserve"> 17:545–555.</w:t>
      </w:r>
      <w:r>
        <w:fldChar w:fldCharType="end"/>
      </w:r>
    </w:p>
    <w:p w14:paraId="25BFDC32"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"http://paperpile.com/b/pirA7c/1nkL" \h</w:instrText>
      </w:r>
      <w:r>
        <w:fldChar w:fldCharType="separate"/>
      </w:r>
      <w:r>
        <w:rPr>
          <w:rFonts w:ascii="Times New Roman" w:eastAsia="Times New Roman" w:hAnsi="Times New Roman" w:cs="Times New Roman"/>
          <w:color w:val="000000"/>
        </w:rPr>
        <w:t xml:space="preserve">Li H. 2018. Minimap2: pairwise alignment for nucleotide sequences. </w:t>
      </w:r>
      <w:r>
        <w:fldChar w:fldCharType="end"/>
      </w:r>
      <w:r>
        <w:fldChar w:fldCharType="begin"/>
      </w:r>
      <w:r>
        <w:instrText>HYPERLINK "http://paperpile.com/b/pirA7c/1nkL" \h</w:instrText>
      </w:r>
      <w:r>
        <w:fldChar w:fldCharType="separate"/>
      </w:r>
      <w:r>
        <w:rPr>
          <w:rFonts w:ascii="Times New Roman" w:eastAsia="Times New Roman" w:hAnsi="Times New Roman" w:cs="Times New Roman"/>
          <w:i/>
          <w:color w:val="000000"/>
        </w:rPr>
        <w:t>Bioinformatics</w:t>
      </w:r>
      <w:r>
        <w:fldChar w:fldCharType="end"/>
      </w:r>
      <w:r>
        <w:fldChar w:fldCharType="begin"/>
      </w:r>
      <w:r>
        <w:instrText>HYPERLINK "http://paperpile.com/b/pirA7c/1nkL" \h</w:instrText>
      </w:r>
      <w:r>
        <w:fldChar w:fldCharType="separate"/>
      </w:r>
      <w:r>
        <w:rPr>
          <w:rFonts w:ascii="Times New Roman" w:eastAsia="Times New Roman" w:hAnsi="Times New Roman" w:cs="Times New Roman"/>
          <w:color w:val="000000"/>
        </w:rPr>
        <w:t xml:space="preserve"> 34:3094–3100.</w:t>
      </w:r>
      <w:r>
        <w:fldChar w:fldCharType="end"/>
      </w:r>
    </w:p>
    <w:p w14:paraId="4C6F2488"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"http://paperpile.com/b/pirA7c/bxAW" \h</w:instrText>
      </w:r>
      <w:r>
        <w:fldChar w:fldCharType="separate"/>
      </w:r>
      <w:r>
        <w:rPr>
          <w:rFonts w:ascii="Times New Roman" w:eastAsia="Times New Roman" w:hAnsi="Times New Roman" w:cs="Times New Roman"/>
          <w:color w:val="000000"/>
        </w:rPr>
        <w:t xml:space="preserve">Lv J, Havlak P, Putnam NH. 2011. Constraints on genes shape long-term conservation of macro-synteny in metazoan genomes. </w:t>
      </w:r>
      <w:r>
        <w:fldChar w:fldCharType="end"/>
      </w:r>
      <w:r>
        <w:fldChar w:fldCharType="begin"/>
      </w:r>
      <w:r>
        <w:instrText>HYPERLINK "http://paperpile.com/b/pirA7c/bxAW" \h</w:instrText>
      </w:r>
      <w:r>
        <w:fldChar w:fldCharType="separate"/>
      </w:r>
      <w:r>
        <w:rPr>
          <w:rFonts w:ascii="Times New Roman" w:eastAsia="Times New Roman" w:hAnsi="Times New Roman" w:cs="Times New Roman"/>
          <w:i/>
          <w:color w:val="000000"/>
        </w:rPr>
        <w:t>BMC Bioinformatics</w:t>
      </w:r>
      <w:r>
        <w:fldChar w:fldCharType="end"/>
      </w:r>
      <w:r>
        <w:fldChar w:fldCharType="begin"/>
      </w:r>
      <w:r>
        <w:instrText>HYPERLINK "http://paperpile.com/b/pirA7c/bxAW" \h</w:instrText>
      </w:r>
      <w:r>
        <w:fldChar w:fldCharType="separate"/>
      </w:r>
      <w:r>
        <w:rPr>
          <w:rFonts w:ascii="Times New Roman" w:eastAsia="Times New Roman" w:hAnsi="Times New Roman" w:cs="Times New Roman"/>
          <w:color w:val="000000"/>
        </w:rPr>
        <w:t xml:space="preserve"> 12 Suppl 9:S11.</w:t>
      </w:r>
      <w:r>
        <w:fldChar w:fldCharType="end"/>
      </w:r>
    </w:p>
    <w:p w14:paraId="5ED9625A"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"http://paperpile.com/b/pirA7c/wkWp" \h</w:instrText>
      </w:r>
      <w:r>
        <w:fldChar w:fldCharType="separate"/>
      </w:r>
      <w:r>
        <w:rPr>
          <w:rFonts w:ascii="Times New Roman" w:eastAsia="Times New Roman" w:hAnsi="Times New Roman" w:cs="Times New Roman"/>
          <w:color w:val="000000"/>
        </w:rPr>
        <w:t>Mayr E. 1942. Systematic and the origin of species. New York: Columbia University Press</w:t>
      </w:r>
      <w:r>
        <w:fldChar w:fldCharType="end"/>
      </w:r>
    </w:p>
    <w:p w14:paraId="549EF494"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"http://paperpile.com/b/pirA7c/oDQR" \h</w:instrText>
      </w:r>
      <w:r>
        <w:fldChar w:fldCharType="separate"/>
      </w:r>
      <w:r>
        <w:rPr>
          <w:rFonts w:ascii="Times New Roman" w:eastAsia="Times New Roman" w:hAnsi="Times New Roman" w:cs="Times New Roman"/>
          <w:color w:val="000000"/>
        </w:rPr>
        <w:t xml:space="preserve">Nadeau JH, Taylor BA. 1984. Lengths of chromosomal segments conserved since divergence of man and mouse. </w:t>
      </w:r>
      <w:r>
        <w:fldChar w:fldCharType="end"/>
      </w:r>
      <w:r>
        <w:fldChar w:fldCharType="begin"/>
      </w:r>
      <w:r>
        <w:instrText>HYPERLINK "http://paperpile.com/b/pirA7c/oDQR" \h</w:instrText>
      </w:r>
      <w:r>
        <w:fldChar w:fldCharType="separate"/>
      </w:r>
      <w:r>
        <w:rPr>
          <w:rFonts w:ascii="Times New Roman" w:eastAsia="Times New Roman" w:hAnsi="Times New Roman" w:cs="Times New Roman"/>
          <w:i/>
          <w:color w:val="000000"/>
        </w:rPr>
        <w:t>Proc. Natl. Acad. Sci. U. S. A.</w:t>
      </w:r>
      <w:r>
        <w:fldChar w:fldCharType="end"/>
      </w:r>
      <w:r>
        <w:fldChar w:fldCharType="begin"/>
      </w:r>
      <w:r>
        <w:instrText>HYPERLINK "http://paperpile.com/b/pirA7c/oDQR" \h</w:instrText>
      </w:r>
      <w:r>
        <w:fldChar w:fldCharType="separate"/>
      </w:r>
      <w:r>
        <w:rPr>
          <w:rFonts w:ascii="Times New Roman" w:eastAsia="Times New Roman" w:hAnsi="Times New Roman" w:cs="Times New Roman"/>
          <w:color w:val="000000"/>
        </w:rPr>
        <w:t xml:space="preserve"> 81:814–818.</w:t>
      </w:r>
      <w:r>
        <w:fldChar w:fldCharType="end"/>
      </w:r>
    </w:p>
    <w:p w14:paraId="7119C275"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"http://paperpile.com/b/pirA7c/4uE4" \h</w:instrText>
      </w:r>
      <w:r>
        <w:fldChar w:fldCharType="separate"/>
      </w:r>
      <w:r>
        <w:rPr>
          <w:rFonts w:ascii="Times New Roman" w:eastAsia="Times New Roman" w:hAnsi="Times New Roman" w:cs="Times New Roman"/>
          <w:color w:val="000000"/>
        </w:rPr>
        <w:t>Ohno S. 1970. Gene Duplication as an Evolutionary Force. In: Peeters H, editor. Protides of the Biological Fluids. Vol. 17. Elsevier. p. 39–42.</w:t>
      </w:r>
      <w:r>
        <w:fldChar w:fldCharType="end"/>
      </w:r>
    </w:p>
    <w:p w14:paraId="0445E38A"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"http://paperpile.com/b/pirA7c/tLOj" \h</w:instrText>
      </w:r>
      <w:r>
        <w:fldChar w:fldCharType="separate"/>
      </w:r>
      <w:r>
        <w:rPr>
          <w:rFonts w:ascii="Times New Roman" w:eastAsia="Times New Roman" w:hAnsi="Times New Roman" w:cs="Times New Roman"/>
          <w:color w:val="000000"/>
        </w:rPr>
        <w:t xml:space="preserve">Orr HA. 1996. Dobzhansky, Bateson, and the genetics of speciation. </w:t>
      </w:r>
      <w:r>
        <w:fldChar w:fldCharType="end"/>
      </w:r>
      <w:r>
        <w:fldChar w:fldCharType="begin"/>
      </w:r>
      <w:r>
        <w:instrText>HYPERLINK "http://paperpile.com/b/pirA7c/tLOj" \h</w:instrText>
      </w:r>
      <w:r>
        <w:fldChar w:fldCharType="separate"/>
      </w:r>
      <w:r>
        <w:rPr>
          <w:rFonts w:ascii="Times New Roman" w:eastAsia="Times New Roman" w:hAnsi="Times New Roman" w:cs="Times New Roman"/>
          <w:i/>
          <w:color w:val="000000"/>
        </w:rPr>
        <w:t>Genetics</w:t>
      </w:r>
      <w:r>
        <w:fldChar w:fldCharType="end"/>
      </w:r>
      <w:r>
        <w:fldChar w:fldCharType="begin"/>
      </w:r>
      <w:r>
        <w:instrText>HYPERLINK "http://paperpile.com/b/pirA7c/tLOj" \h</w:instrText>
      </w:r>
      <w:r>
        <w:fldChar w:fldCharType="separate"/>
      </w:r>
      <w:r>
        <w:rPr>
          <w:rFonts w:ascii="Times New Roman" w:eastAsia="Times New Roman" w:hAnsi="Times New Roman" w:cs="Times New Roman"/>
          <w:color w:val="000000"/>
        </w:rPr>
        <w:t xml:space="preserve"> 144:1331–1335.</w:t>
      </w:r>
      <w:r>
        <w:fldChar w:fldCharType="end"/>
      </w:r>
    </w:p>
    <w:p w14:paraId="0836E14E"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"http://paperpile.com/b/pirA7c/LOsc" \h</w:instrText>
      </w:r>
      <w:r>
        <w:fldChar w:fldCharType="separate"/>
      </w:r>
      <w:r>
        <w:rPr>
          <w:rFonts w:ascii="Times New Roman" w:eastAsia="Times New Roman" w:hAnsi="Times New Roman" w:cs="Times New Roman"/>
          <w:color w:val="000000"/>
        </w:rPr>
        <w:t xml:space="preserve">Pertea G, Pertea M. 2020. GFF Utilities: GffRead and GffCompare. </w:t>
      </w:r>
      <w:r>
        <w:fldChar w:fldCharType="end"/>
      </w:r>
      <w:r>
        <w:fldChar w:fldCharType="begin"/>
      </w:r>
      <w:r>
        <w:instrText>HYPERLINK "http://paperpile.com/b/pirA7c/LOsc" \h</w:instrText>
      </w:r>
      <w:r>
        <w:fldChar w:fldCharType="separate"/>
      </w:r>
      <w:r>
        <w:rPr>
          <w:rFonts w:ascii="Times New Roman" w:eastAsia="Times New Roman" w:hAnsi="Times New Roman" w:cs="Times New Roman"/>
          <w:i/>
          <w:color w:val="000000"/>
        </w:rPr>
        <w:t>F1000Res.</w:t>
      </w:r>
      <w:r>
        <w:fldChar w:fldCharType="end"/>
      </w:r>
      <w:r>
        <w:fldChar w:fldCharType="begin"/>
      </w:r>
      <w:r>
        <w:instrText>HYPERLINK "http://paperpile.com/b/pirA7c/LOsc" \h</w:instrText>
      </w:r>
      <w:r>
        <w:fldChar w:fldCharType="separate"/>
      </w:r>
      <w:r>
        <w:rPr>
          <w:rFonts w:ascii="Times New Roman" w:eastAsia="Times New Roman" w:hAnsi="Times New Roman" w:cs="Times New Roman"/>
          <w:color w:val="000000"/>
        </w:rPr>
        <w:t xml:space="preserve"> [Internet] 9. Available from: </w:t>
      </w:r>
      <w:r>
        <w:fldChar w:fldCharType="end"/>
      </w:r>
      <w:r>
        <w:fldChar w:fldCharType="begin"/>
      </w:r>
      <w:r>
        <w:instrText>HYPERLINK "http://dx.doi.org/10.12688/f1000research.23297.2" \h</w:instrText>
      </w:r>
      <w:r>
        <w:fldChar w:fldCharType="separate"/>
      </w:r>
      <w:r>
        <w:rPr>
          <w:rFonts w:ascii="Times New Roman" w:eastAsia="Times New Roman" w:hAnsi="Times New Roman" w:cs="Times New Roman"/>
          <w:color w:val="000000"/>
        </w:rPr>
        <w:t>http://dx.doi.org/10.12688/f1000research.23297.2</w:t>
      </w:r>
      <w:r>
        <w:fldChar w:fldCharType="end"/>
      </w:r>
    </w:p>
    <w:p w14:paraId="3C6E1B58"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"http://paperpile.com/b/pirA7c/OH4J" \h</w:instrText>
      </w:r>
      <w:r>
        <w:fldChar w:fldCharType="separate"/>
      </w:r>
      <w:r>
        <w:rPr>
          <w:rFonts w:ascii="Times New Roman" w:eastAsia="Times New Roman" w:hAnsi="Times New Roman" w:cs="Times New Roman"/>
          <w:color w:val="000000"/>
        </w:rPr>
        <w:t xml:space="preserve">Pevzner P, Tesler G. 2003. Human and mouse genomic sequences reveal extensive breakpoint reuse in mammalian evolution. </w:t>
      </w:r>
      <w:r>
        <w:fldChar w:fldCharType="end"/>
      </w:r>
      <w:r>
        <w:fldChar w:fldCharType="begin"/>
      </w:r>
      <w:r>
        <w:instrText>HYPERLINK "http://paperpile.com/b/pirA7c/OH4J" \h</w:instrText>
      </w:r>
      <w:r>
        <w:fldChar w:fldCharType="separate"/>
      </w:r>
      <w:r>
        <w:rPr>
          <w:rFonts w:ascii="Times New Roman" w:eastAsia="Times New Roman" w:hAnsi="Times New Roman" w:cs="Times New Roman"/>
          <w:i/>
          <w:color w:val="000000"/>
        </w:rPr>
        <w:t>Proc. Natl. Acad. Sci. U. S. A.</w:t>
      </w:r>
      <w:r>
        <w:fldChar w:fldCharType="end"/>
      </w:r>
      <w:r>
        <w:fldChar w:fldCharType="begin"/>
      </w:r>
      <w:r>
        <w:instrText>HYPERLINK "http://paperpile.com/b/pirA7c/OH4J" \h</w:instrText>
      </w:r>
      <w:r>
        <w:fldChar w:fldCharType="separate"/>
      </w:r>
      <w:r>
        <w:rPr>
          <w:rFonts w:ascii="Times New Roman" w:eastAsia="Times New Roman" w:hAnsi="Times New Roman" w:cs="Times New Roman"/>
          <w:color w:val="000000"/>
        </w:rPr>
        <w:t xml:space="preserve"> 100:7672–7677.</w:t>
      </w:r>
      <w:r>
        <w:fldChar w:fldCharType="end"/>
      </w:r>
    </w:p>
    <w:p w14:paraId="671BC6AC"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"http://paperpile.com/b/pirA7c/PCQK" \h</w:instrText>
      </w:r>
      <w:r>
        <w:fldChar w:fldCharType="separate"/>
      </w:r>
      <w:r>
        <w:rPr>
          <w:rFonts w:ascii="Times New Roman" w:eastAsia="Times New Roman" w:hAnsi="Times New Roman" w:cs="Times New Roman"/>
          <w:color w:val="000000"/>
        </w:rPr>
        <w:t xml:space="preserve">Schultz DT, Francis WR, McBroome JD, Christianson LM, Haddock SHD, Green RE. 2021. A chromosome-scale genome assembly and karyotype of the ctenophore </w:t>
      </w:r>
      <w:r>
        <w:fldChar w:fldCharType="end"/>
      </w:r>
      <w:r>
        <w:fldChar w:fldCharType="begin"/>
      </w:r>
      <w:r>
        <w:instrText>HYPERLINK "http://paperpile.com/b/pirA7c/PCQK" \h</w:instrText>
      </w:r>
      <w:r>
        <w:fldChar w:fldCharType="separate"/>
      </w:r>
      <w:r>
        <w:rPr>
          <w:rFonts w:ascii="Times New Roman" w:eastAsia="Times New Roman" w:hAnsi="Times New Roman" w:cs="Times New Roman"/>
          <w:i/>
          <w:color w:val="000000"/>
        </w:rPr>
        <w:t>Hormiphora californensis</w:t>
      </w:r>
      <w:r>
        <w:fldChar w:fldCharType="end"/>
      </w:r>
      <w:r>
        <w:fldChar w:fldCharType="begin"/>
      </w:r>
      <w:r>
        <w:instrText>HYPERLINK "http://paperpile.com/b/pirA7c/PCQK" \h</w:instrText>
      </w:r>
      <w:r>
        <w:fldChar w:fldCharType="separate"/>
      </w:r>
      <w:r>
        <w:rPr>
          <w:rFonts w:ascii="Times New Roman" w:eastAsia="Times New Roman" w:hAnsi="Times New Roman" w:cs="Times New Roman"/>
          <w:color w:val="000000"/>
        </w:rPr>
        <w:t xml:space="preserve">. </w:t>
      </w:r>
      <w:r>
        <w:fldChar w:fldCharType="end"/>
      </w:r>
      <w:r>
        <w:fldChar w:fldCharType="begin"/>
      </w:r>
      <w:r>
        <w:instrText>HYPERLINK "http://paperpile.com/b/pirA7c/PCQK" \h</w:instrText>
      </w:r>
      <w:r>
        <w:fldChar w:fldCharType="separate"/>
      </w:r>
      <w:r>
        <w:rPr>
          <w:rFonts w:ascii="Times New Roman" w:eastAsia="Times New Roman" w:hAnsi="Times New Roman" w:cs="Times New Roman"/>
          <w:i/>
          <w:color w:val="000000"/>
        </w:rPr>
        <w:t>G3</w:t>
      </w:r>
      <w:r>
        <w:fldChar w:fldCharType="end"/>
      </w:r>
      <w:r>
        <w:fldChar w:fldCharType="begin"/>
      </w:r>
      <w:r>
        <w:instrText>HYPERLINK "http://paperpile.com/b/pirA7c/PCQK" \h</w:instrText>
      </w:r>
      <w:r>
        <w:fldChar w:fldCharType="separate"/>
      </w:r>
      <w:r>
        <w:rPr>
          <w:rFonts w:ascii="Times New Roman" w:eastAsia="Times New Roman" w:hAnsi="Times New Roman" w:cs="Times New Roman"/>
          <w:color w:val="000000"/>
        </w:rPr>
        <w:t xml:space="preserve"> 11:jkab302.</w:t>
      </w:r>
      <w:r>
        <w:fldChar w:fldCharType="end"/>
      </w:r>
    </w:p>
    <w:p w14:paraId="2FA1AE2B"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"http://paperpile.com/b/pirA7c/NjFG" \h</w:instrText>
      </w:r>
      <w:r>
        <w:fldChar w:fldCharType="separate"/>
      </w:r>
      <w:r>
        <w:rPr>
          <w:rFonts w:ascii="Times New Roman" w:eastAsia="Times New Roman" w:hAnsi="Times New Roman" w:cs="Times New Roman"/>
          <w:color w:val="000000"/>
        </w:rPr>
        <w:t xml:space="preserve">Shinzato C, Khalturin K, Inoue J, Zayasu Y, Kanda M, Kawamitsu M, Yoshioka Y, Yamashita H, Suzuki G, Satoh N. 2021. Eighteen Coral Genomes Reveal the Evolutionary Origin of Acropora Strategies to Accommodate Environmental Changes. </w:t>
      </w:r>
      <w:r>
        <w:fldChar w:fldCharType="end"/>
      </w:r>
      <w:r>
        <w:fldChar w:fldCharType="begin"/>
      </w:r>
      <w:r>
        <w:instrText>HYPERLINK "http://paperpile.com/b/pirA7c/NjFG" \h</w:instrText>
      </w:r>
      <w:r>
        <w:fldChar w:fldCharType="separate"/>
      </w:r>
      <w:r>
        <w:rPr>
          <w:rFonts w:ascii="Times New Roman" w:eastAsia="Times New Roman" w:hAnsi="Times New Roman" w:cs="Times New Roman"/>
          <w:i/>
          <w:color w:val="000000"/>
        </w:rPr>
        <w:t>Mol. Biol. Evol.</w:t>
      </w:r>
      <w:r>
        <w:fldChar w:fldCharType="end"/>
      </w:r>
      <w:r>
        <w:fldChar w:fldCharType="begin"/>
      </w:r>
      <w:r>
        <w:instrText>HYPERLINK "http://paperpile.com/b/pirA7c/NjFG" \h</w:instrText>
      </w:r>
      <w:r>
        <w:fldChar w:fldCharType="separate"/>
      </w:r>
      <w:r>
        <w:rPr>
          <w:rFonts w:ascii="Times New Roman" w:eastAsia="Times New Roman" w:hAnsi="Times New Roman" w:cs="Times New Roman"/>
          <w:color w:val="000000"/>
        </w:rPr>
        <w:t xml:space="preserve"> 38:16–30.</w:t>
      </w:r>
      <w:r>
        <w:fldChar w:fldCharType="end"/>
      </w:r>
    </w:p>
    <w:p w14:paraId="68A380DC"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"http://paperpile.com/b/pirA7c/x8zP" \h</w:instrText>
      </w:r>
      <w:r>
        <w:fldChar w:fldCharType="separate"/>
      </w:r>
      <w:r>
        <w:rPr>
          <w:rFonts w:ascii="Times New Roman" w:eastAsia="Times New Roman" w:hAnsi="Times New Roman" w:cs="Times New Roman"/>
          <w:color w:val="000000"/>
        </w:rPr>
        <w:t xml:space="preserve">Simakov O, Bredeson J, Berkoff K, Marletaz F, Mitros T, Schultz DT, O’Connell BL, Dear P, Martinez DE, Steele RE, et al. 2022. Deeply conserved synteny and the evolution of metazoan chromosomes. </w:t>
      </w:r>
      <w:r>
        <w:fldChar w:fldCharType="end"/>
      </w:r>
      <w:r>
        <w:fldChar w:fldCharType="begin"/>
      </w:r>
      <w:r>
        <w:instrText>HYPERLINK "http://paperpile.com/b/pirA7c/x8zP" \h</w:instrText>
      </w:r>
      <w:r>
        <w:fldChar w:fldCharType="separate"/>
      </w:r>
      <w:r>
        <w:rPr>
          <w:rFonts w:ascii="Times New Roman" w:eastAsia="Times New Roman" w:hAnsi="Times New Roman" w:cs="Times New Roman"/>
          <w:i/>
          <w:color w:val="000000"/>
        </w:rPr>
        <w:t>Sci Adv</w:t>
      </w:r>
      <w:r>
        <w:fldChar w:fldCharType="end"/>
      </w:r>
      <w:r>
        <w:fldChar w:fldCharType="begin"/>
      </w:r>
      <w:r>
        <w:instrText>HYPERLINK "http://paperpile.com/b/pirA7c/x8zP" \h</w:instrText>
      </w:r>
      <w:r>
        <w:fldChar w:fldCharType="separate"/>
      </w:r>
      <w:r>
        <w:rPr>
          <w:rFonts w:ascii="Times New Roman" w:eastAsia="Times New Roman" w:hAnsi="Times New Roman" w:cs="Times New Roman"/>
          <w:color w:val="000000"/>
        </w:rPr>
        <w:t xml:space="preserve"> 8:eabi5884.</w:t>
      </w:r>
      <w:r>
        <w:fldChar w:fldCharType="end"/>
      </w:r>
    </w:p>
    <w:p w14:paraId="63935E92"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"http://paperpile.com/b/pirA7c/J6w8" \h</w:instrText>
      </w:r>
      <w:r>
        <w:fldChar w:fldCharType="separate"/>
      </w:r>
      <w:r>
        <w:rPr>
          <w:rFonts w:ascii="Times New Roman" w:eastAsia="Times New Roman" w:hAnsi="Times New Roman" w:cs="Times New Roman"/>
          <w:color w:val="000000"/>
        </w:rPr>
        <w:t xml:space="preserve">Slijepcevic P. 1998. Telomeres and mechanisms of Robertsonian fusion. </w:t>
      </w:r>
      <w:r>
        <w:fldChar w:fldCharType="end"/>
      </w:r>
      <w:r>
        <w:fldChar w:fldCharType="begin"/>
      </w:r>
      <w:r>
        <w:instrText>HYPERLINK "http://paperpile.com/b/pirA7c/J6w8" \h</w:instrText>
      </w:r>
      <w:r>
        <w:fldChar w:fldCharType="separate"/>
      </w:r>
      <w:r>
        <w:rPr>
          <w:rFonts w:ascii="Times New Roman" w:eastAsia="Times New Roman" w:hAnsi="Times New Roman" w:cs="Times New Roman"/>
          <w:i/>
          <w:color w:val="000000"/>
        </w:rPr>
        <w:t>Chromosoma</w:t>
      </w:r>
      <w:r>
        <w:fldChar w:fldCharType="end"/>
      </w:r>
      <w:r>
        <w:fldChar w:fldCharType="begin"/>
      </w:r>
      <w:r>
        <w:instrText>HYPERLINK "http://paperpile.com/b/pirA7c/J6w8" \h</w:instrText>
      </w:r>
      <w:r>
        <w:fldChar w:fldCharType="separate"/>
      </w:r>
      <w:r>
        <w:rPr>
          <w:rFonts w:ascii="Times New Roman" w:eastAsia="Times New Roman" w:hAnsi="Times New Roman" w:cs="Times New Roman"/>
          <w:color w:val="000000"/>
        </w:rPr>
        <w:t xml:space="preserve"> 107:136–140.</w:t>
      </w:r>
      <w:r>
        <w:fldChar w:fldCharType="end"/>
      </w:r>
    </w:p>
    <w:p w14:paraId="27A00166"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"http://paperpile.com/b/pirA7c/aKmD" \h</w:instrText>
      </w:r>
      <w:r>
        <w:fldChar w:fldCharType="separate"/>
      </w:r>
      <w:r>
        <w:rPr>
          <w:rFonts w:ascii="Times New Roman" w:eastAsia="Times New Roman" w:hAnsi="Times New Roman" w:cs="Times New Roman"/>
          <w:color w:val="000000"/>
        </w:rPr>
        <w:t xml:space="preserve">Srivastava M, Begovic E, Chapman J, Putnam NH, Hellsten U, Kawashima T, Kuo A, Mitros T, Salamov A, Carpenter ML, et al. 2008. The </w:t>
      </w:r>
      <w:r>
        <w:fldChar w:fldCharType="end"/>
      </w:r>
      <w:r>
        <w:fldChar w:fldCharType="begin"/>
      </w:r>
      <w:r>
        <w:instrText>HYPERLINK "http://paperpile.com/b/pirA7c/aKmD" \h</w:instrText>
      </w:r>
      <w:r>
        <w:fldChar w:fldCharType="separate"/>
      </w:r>
      <w:r>
        <w:rPr>
          <w:rFonts w:ascii="Times New Roman" w:eastAsia="Times New Roman" w:hAnsi="Times New Roman" w:cs="Times New Roman"/>
          <w:i/>
          <w:color w:val="000000"/>
        </w:rPr>
        <w:t>Trichoplax</w:t>
      </w:r>
      <w:r>
        <w:fldChar w:fldCharType="end"/>
      </w:r>
      <w:r>
        <w:fldChar w:fldCharType="begin"/>
      </w:r>
      <w:r>
        <w:instrText>HYPERLINK "http://paperpile.com/b/pirA7c/aKmD" \h</w:instrText>
      </w:r>
      <w:r>
        <w:fldChar w:fldCharType="separate"/>
      </w:r>
      <w:r>
        <w:rPr>
          <w:rFonts w:ascii="Times New Roman" w:eastAsia="Times New Roman" w:hAnsi="Times New Roman" w:cs="Times New Roman"/>
          <w:color w:val="000000"/>
        </w:rPr>
        <w:t xml:space="preserve"> genome and the nature of placozoans. </w:t>
      </w:r>
      <w:r>
        <w:fldChar w:fldCharType="end"/>
      </w:r>
      <w:r>
        <w:fldChar w:fldCharType="begin"/>
      </w:r>
      <w:r>
        <w:instrText>HYPERLINK "http://paperpile.com/b/pirA7c/aKmD" \h</w:instrText>
      </w:r>
      <w:r>
        <w:fldChar w:fldCharType="separate"/>
      </w:r>
      <w:r>
        <w:rPr>
          <w:rFonts w:ascii="Times New Roman" w:eastAsia="Times New Roman" w:hAnsi="Times New Roman" w:cs="Times New Roman"/>
          <w:i/>
          <w:color w:val="000000"/>
        </w:rPr>
        <w:t>Nature</w:t>
      </w:r>
      <w:r>
        <w:fldChar w:fldCharType="end"/>
      </w:r>
      <w:r>
        <w:fldChar w:fldCharType="begin"/>
      </w:r>
      <w:r>
        <w:instrText>HYPERLINK "http://paperpile.com/b/pirA7c/aKmD" \h</w:instrText>
      </w:r>
      <w:r>
        <w:fldChar w:fldCharType="separate"/>
      </w:r>
      <w:r>
        <w:rPr>
          <w:rFonts w:ascii="Times New Roman" w:eastAsia="Times New Roman" w:hAnsi="Times New Roman" w:cs="Times New Roman"/>
          <w:color w:val="000000"/>
        </w:rPr>
        <w:t xml:space="preserve"> 454:955–960.</w:t>
      </w:r>
      <w:r>
        <w:fldChar w:fldCharType="end"/>
      </w:r>
    </w:p>
    <w:p w14:paraId="40627148"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"http://paperpile.com/b/pirA7c/Fask" \h</w:instrText>
      </w:r>
      <w:r>
        <w:fldChar w:fldCharType="separate"/>
      </w:r>
      <w:r>
        <w:rPr>
          <w:rFonts w:ascii="Times New Roman" w:eastAsia="Times New Roman" w:hAnsi="Times New Roman" w:cs="Times New Roman"/>
          <w:color w:val="000000"/>
        </w:rPr>
        <w:t xml:space="preserve">Ulate K, Alfaro-Montoya J. 2010. Sperm–egg incompatibility in inter-specific inseminations of </w:t>
      </w:r>
      <w:r>
        <w:fldChar w:fldCharType="end"/>
      </w:r>
      <w:r>
        <w:fldChar w:fldCharType="begin"/>
      </w:r>
      <w:r>
        <w:instrText>HYPERLINK "http://paperpile.com/b/pirA7c/Fask" \h</w:instrText>
      </w:r>
      <w:r>
        <w:fldChar w:fldCharType="separate"/>
      </w:r>
      <w:r>
        <w:rPr>
          <w:rFonts w:ascii="Times New Roman" w:eastAsia="Times New Roman" w:hAnsi="Times New Roman" w:cs="Times New Roman"/>
          <w:i/>
          <w:color w:val="000000"/>
        </w:rPr>
        <w:t>Penaeus (Litopenaeus) occidentalis</w:t>
      </w:r>
      <w:r>
        <w:fldChar w:fldCharType="end"/>
      </w:r>
      <w:r>
        <w:fldChar w:fldCharType="begin"/>
      </w:r>
      <w:r>
        <w:instrText>HYPERLINK "http://paperpile.com/b/pirA7c/Fask" \h</w:instrText>
      </w:r>
      <w:r>
        <w:fldChar w:fldCharType="separate"/>
      </w:r>
      <w:r>
        <w:rPr>
          <w:rFonts w:ascii="Times New Roman" w:eastAsia="Times New Roman" w:hAnsi="Times New Roman" w:cs="Times New Roman"/>
          <w:color w:val="000000"/>
        </w:rPr>
        <w:t xml:space="preserve">, </w:t>
      </w:r>
      <w:r>
        <w:fldChar w:fldCharType="end"/>
      </w:r>
      <w:r>
        <w:fldChar w:fldCharType="begin"/>
      </w:r>
      <w:r>
        <w:instrText>HYPERLINK "http://paperpile.com/b/pirA7c/Fask" \h</w:instrText>
      </w:r>
      <w:r>
        <w:fldChar w:fldCharType="separate"/>
      </w:r>
      <w:r>
        <w:rPr>
          <w:rFonts w:ascii="Times New Roman" w:eastAsia="Times New Roman" w:hAnsi="Times New Roman" w:cs="Times New Roman"/>
          <w:i/>
          <w:color w:val="000000"/>
        </w:rPr>
        <w:t>P. (Litopenaeus) stylirostris</w:t>
      </w:r>
      <w:r>
        <w:fldChar w:fldCharType="end"/>
      </w:r>
      <w:r>
        <w:fldChar w:fldCharType="begin"/>
      </w:r>
      <w:r>
        <w:instrText>HYPERLINK "http://paperpile.com/b/pirA7c/Fask" \h</w:instrText>
      </w:r>
      <w:r>
        <w:fldChar w:fldCharType="separate"/>
      </w:r>
      <w:r>
        <w:rPr>
          <w:rFonts w:ascii="Times New Roman" w:eastAsia="Times New Roman" w:hAnsi="Times New Roman" w:cs="Times New Roman"/>
          <w:color w:val="000000"/>
        </w:rPr>
        <w:t xml:space="preserve"> and </w:t>
      </w:r>
      <w:r>
        <w:fldChar w:fldCharType="end"/>
      </w:r>
      <w:r>
        <w:fldChar w:fldCharType="begin"/>
      </w:r>
      <w:r>
        <w:instrText>HYPERLINK "http://paperpile.com/b/pirA7c/Fask" \h</w:instrText>
      </w:r>
      <w:r>
        <w:fldChar w:fldCharType="separate"/>
      </w:r>
      <w:r>
        <w:rPr>
          <w:rFonts w:ascii="Times New Roman" w:eastAsia="Times New Roman" w:hAnsi="Times New Roman" w:cs="Times New Roman"/>
          <w:i/>
          <w:color w:val="000000"/>
        </w:rPr>
        <w:t>P. (Litopenaeus) vannamei</w:t>
      </w:r>
      <w:r>
        <w:fldChar w:fldCharType="end"/>
      </w:r>
      <w:r>
        <w:fldChar w:fldCharType="begin"/>
      </w:r>
      <w:r>
        <w:instrText>HYPERLINK "http://paperpile.com/b/pirA7c/Fask" \h</w:instrText>
      </w:r>
      <w:r>
        <w:fldChar w:fldCharType="separate"/>
      </w:r>
      <w:r>
        <w:rPr>
          <w:rFonts w:ascii="Times New Roman" w:eastAsia="Times New Roman" w:hAnsi="Times New Roman" w:cs="Times New Roman"/>
          <w:color w:val="000000"/>
        </w:rPr>
        <w:t xml:space="preserve">. </w:t>
      </w:r>
      <w:r>
        <w:fldChar w:fldCharType="end"/>
      </w:r>
      <w:r>
        <w:fldChar w:fldCharType="begin"/>
      </w:r>
      <w:r>
        <w:instrText>HYPERLINK "http://paperpile.com/b/pirA7c/Fask" \h</w:instrText>
      </w:r>
      <w:r>
        <w:fldChar w:fldCharType="separate"/>
      </w:r>
      <w:r>
        <w:rPr>
          <w:rFonts w:ascii="Times New Roman" w:eastAsia="Times New Roman" w:hAnsi="Times New Roman" w:cs="Times New Roman"/>
          <w:i/>
          <w:color w:val="000000"/>
        </w:rPr>
        <w:t>Aquaculture</w:t>
      </w:r>
      <w:r>
        <w:fldChar w:fldCharType="end"/>
      </w:r>
      <w:r>
        <w:fldChar w:fldCharType="begin"/>
      </w:r>
      <w:r>
        <w:instrText>HYPERLINK "http://paperpile.com/b/pirA7c/Fask" \h</w:instrText>
      </w:r>
      <w:r>
        <w:fldChar w:fldCharType="separate"/>
      </w:r>
      <w:r>
        <w:rPr>
          <w:rFonts w:ascii="Times New Roman" w:eastAsia="Times New Roman" w:hAnsi="Times New Roman" w:cs="Times New Roman"/>
          <w:color w:val="000000"/>
        </w:rPr>
        <w:t xml:space="preserve"> 309:290–292.</w:t>
      </w:r>
      <w:r>
        <w:fldChar w:fldCharType="end"/>
      </w:r>
    </w:p>
    <w:p w14:paraId="1BA0BF16"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"http://paperpile.com/b/pirA7c/hNvr" \h</w:instrText>
      </w:r>
      <w:r>
        <w:fldChar w:fldCharType="separate"/>
      </w:r>
      <w:r>
        <w:rPr>
          <w:rFonts w:ascii="Times New Roman" w:eastAsia="Times New Roman" w:hAnsi="Times New Roman" w:cs="Times New Roman"/>
          <w:color w:val="000000"/>
        </w:rPr>
        <w:t xml:space="preserve">Vrana PB, Fossella JA, Matteson P, del Rio T, O’Neill MJ, Tilghman SM. 2000. Genetic and epigenetic incompatibilities underlie hybrid dysgenesis in Peromyscus. </w:t>
      </w:r>
      <w:r>
        <w:fldChar w:fldCharType="end"/>
      </w:r>
      <w:r>
        <w:fldChar w:fldCharType="begin"/>
      </w:r>
      <w:r>
        <w:instrText>HYPERLINK "http://paperpile.com/b/pirA7c/hNvr" \h</w:instrText>
      </w:r>
      <w:r>
        <w:fldChar w:fldCharType="separate"/>
      </w:r>
      <w:r>
        <w:rPr>
          <w:rFonts w:ascii="Times New Roman" w:eastAsia="Times New Roman" w:hAnsi="Times New Roman" w:cs="Times New Roman"/>
          <w:i/>
          <w:color w:val="000000"/>
        </w:rPr>
        <w:t>Nat. Genet.</w:t>
      </w:r>
      <w:r>
        <w:fldChar w:fldCharType="end"/>
      </w:r>
      <w:r>
        <w:fldChar w:fldCharType="begin"/>
      </w:r>
      <w:r>
        <w:instrText>HYPERLINK "http://paperpile.com/b/pirA7c/hNvr" \h</w:instrText>
      </w:r>
      <w:r>
        <w:fldChar w:fldCharType="separate"/>
      </w:r>
      <w:r>
        <w:rPr>
          <w:rFonts w:ascii="Times New Roman" w:eastAsia="Times New Roman" w:hAnsi="Times New Roman" w:cs="Times New Roman"/>
          <w:color w:val="000000"/>
        </w:rPr>
        <w:t xml:space="preserve"> 25:120–124.</w:t>
      </w:r>
      <w:r>
        <w:fldChar w:fldCharType="end"/>
      </w:r>
    </w:p>
    <w:p w14:paraId="00CF6000"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"http://paperpile.com/b/pirA7c/Di7E" \h</w:instrText>
      </w:r>
      <w:r>
        <w:fldChar w:fldCharType="separate"/>
      </w:r>
      <w:r>
        <w:rPr>
          <w:rFonts w:ascii="Times New Roman" w:eastAsia="Times New Roman" w:hAnsi="Times New Roman" w:cs="Times New Roman"/>
          <w:color w:val="000000"/>
        </w:rPr>
        <w:t xml:space="preserve">Yunis JJ, Prakash O. 1982. The origin of man: a chromosomal pictorial legacy. </w:t>
      </w:r>
      <w:r>
        <w:fldChar w:fldCharType="end"/>
      </w:r>
      <w:r>
        <w:fldChar w:fldCharType="begin"/>
      </w:r>
      <w:r>
        <w:instrText>HYPERLINK "http://paperpile.com/b/pirA7c/Di7E" \h</w:instrText>
      </w:r>
      <w:r>
        <w:fldChar w:fldCharType="separate"/>
      </w:r>
      <w:r>
        <w:rPr>
          <w:rFonts w:ascii="Times New Roman" w:eastAsia="Times New Roman" w:hAnsi="Times New Roman" w:cs="Times New Roman"/>
          <w:i/>
          <w:color w:val="000000"/>
        </w:rPr>
        <w:t>Science</w:t>
      </w:r>
      <w:r>
        <w:fldChar w:fldCharType="end"/>
      </w:r>
      <w:r>
        <w:fldChar w:fldCharType="begin"/>
      </w:r>
      <w:r>
        <w:instrText>HYPERLINK "http://paperpile.com/b/pirA7c/Di7E" \h</w:instrText>
      </w:r>
      <w:r>
        <w:fldChar w:fldCharType="separate"/>
      </w:r>
      <w:r>
        <w:rPr>
          <w:rFonts w:ascii="Times New Roman" w:eastAsia="Times New Roman" w:hAnsi="Times New Roman" w:cs="Times New Roman"/>
          <w:color w:val="000000"/>
        </w:rPr>
        <w:t xml:space="preserve"> 215:1525–1530.</w:t>
      </w:r>
      <w:r>
        <w:fldChar w:fldCharType="end"/>
      </w:r>
    </w:p>
    <w:p w14:paraId="2EA28B89"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fldChar w:fldCharType="begin"/>
      </w:r>
      <w:r>
        <w:instrText>HYPERLINK "http://paperpile.com/b/pirA7c/EbyG" \h</w:instrText>
      </w:r>
      <w:r>
        <w:fldChar w:fldCharType="separate"/>
      </w:r>
      <w:r>
        <w:rPr>
          <w:rFonts w:ascii="Times New Roman" w:eastAsia="Times New Roman" w:hAnsi="Times New Roman" w:cs="Times New Roman"/>
          <w:color w:val="000000"/>
        </w:rPr>
        <w:t>Zachos FE. 2016. Species Concepts in Biology. Springer International Publishing</w:t>
      </w:r>
      <w:r>
        <w:fldChar w:fldCharType="end"/>
      </w:r>
    </w:p>
    <w:p w14:paraId="2CCFCEB4" w14:textId="77777777" w:rsidR="00EF30E6" w:rsidRDefault="00000000">
      <w:pPr>
        <w:widowControl w:val="0"/>
        <w:pBdr>
          <w:top w:val="nil"/>
          <w:left w:val="nil"/>
          <w:bottom w:val="nil"/>
          <w:right w:val="nil"/>
          <w:between w:val="nil"/>
        </w:pBdr>
        <w:spacing w:after="220" w:line="240" w:lineRule="auto"/>
        <w:ind w:left="440" w:hanging="440"/>
        <w:rPr>
          <w:rFonts w:ascii="Times New Roman" w:eastAsia="Times New Roman" w:hAnsi="Times New Roman" w:cs="Times New Roman"/>
          <w:color w:val="000000"/>
        </w:rPr>
      </w:pPr>
      <w:r>
        <w:lastRenderedPageBreak/>
        <w:fldChar w:fldCharType="begin"/>
      </w:r>
      <w:r>
        <w:instrText>HYPERLINK "http://paperpile.com/b/pirA7c/YxaS" \h</w:instrText>
      </w:r>
      <w:r>
        <w:fldChar w:fldCharType="separate"/>
      </w:r>
      <w:r>
        <w:rPr>
          <w:rFonts w:ascii="Times New Roman" w:eastAsia="Times New Roman" w:hAnsi="Times New Roman" w:cs="Times New Roman"/>
          <w:color w:val="000000"/>
        </w:rPr>
        <w:t xml:space="preserve">Zdobnov EM, Bork P. 2007. Quantification of insect genome divergence. </w:t>
      </w:r>
      <w:r>
        <w:fldChar w:fldCharType="end"/>
      </w:r>
      <w:r>
        <w:fldChar w:fldCharType="begin"/>
      </w:r>
      <w:r>
        <w:instrText>HYPERLINK "http://paperpile.com/b/pirA7c/YxaS" \h</w:instrText>
      </w:r>
      <w:r>
        <w:fldChar w:fldCharType="separate"/>
      </w:r>
      <w:r>
        <w:rPr>
          <w:rFonts w:ascii="Times New Roman" w:eastAsia="Times New Roman" w:hAnsi="Times New Roman" w:cs="Times New Roman"/>
          <w:i/>
          <w:color w:val="000000"/>
        </w:rPr>
        <w:t>Trends Genet.</w:t>
      </w:r>
      <w:r>
        <w:fldChar w:fldCharType="end"/>
      </w:r>
      <w:r>
        <w:fldChar w:fldCharType="begin"/>
      </w:r>
      <w:r>
        <w:instrText>HYPERLINK "http://paperpile.com/b/pirA7c/YxaS" \h</w:instrText>
      </w:r>
      <w:r>
        <w:fldChar w:fldCharType="separate"/>
      </w:r>
      <w:r>
        <w:rPr>
          <w:rFonts w:ascii="Times New Roman" w:eastAsia="Times New Roman" w:hAnsi="Times New Roman" w:cs="Times New Roman"/>
          <w:color w:val="000000"/>
        </w:rPr>
        <w:t xml:space="preserve"> 23:16–20.</w:t>
      </w:r>
      <w:r>
        <w:fldChar w:fldCharType="end"/>
      </w:r>
    </w:p>
    <w:p w14:paraId="6E0F8799" w14:textId="77777777" w:rsidR="00B44343" w:rsidRDefault="00000000">
      <w:pPr>
        <w:widowControl w:val="0"/>
        <w:pBdr>
          <w:top w:val="nil"/>
          <w:left w:val="nil"/>
          <w:bottom w:val="nil"/>
          <w:right w:val="nil"/>
          <w:between w:val="nil"/>
        </w:pBdr>
        <w:spacing w:after="220" w:line="240" w:lineRule="auto"/>
        <w:ind w:left="440" w:hanging="440"/>
        <w:rPr>
          <w:del w:id="211" w:author="Author" w:date="2024-12-27T12:21:00Z" w16du:dateUtc="2024-12-27T11:21:00Z"/>
          <w:rFonts w:ascii="Times New Roman" w:eastAsia="Times New Roman" w:hAnsi="Times New Roman" w:cs="Times New Roman"/>
          <w:color w:val="000000"/>
        </w:rPr>
      </w:pPr>
      <w:r>
        <w:fldChar w:fldCharType="begin"/>
      </w:r>
      <w:r>
        <w:instrText>HYPERLINK "http://paperpile.com/b/pirA7c/PbIj" \h</w:instrText>
      </w:r>
      <w:r>
        <w:fldChar w:fldCharType="separate"/>
      </w:r>
      <w:r>
        <w:rPr>
          <w:rFonts w:ascii="Times New Roman" w:eastAsia="Times New Roman" w:hAnsi="Times New Roman" w:cs="Times New Roman"/>
          <w:color w:val="000000"/>
        </w:rPr>
        <w:t xml:space="preserve">Zechner U, Reule M, Orth A, Bonhomme F, Strack B, Guénet, Hameister H, Fundele R. 1996. An X-chromosome linked locus contributes to abnormal placental development in mouse interspecific hybrid. </w:t>
      </w:r>
      <w:r>
        <w:fldChar w:fldCharType="end"/>
      </w:r>
      <w:r>
        <w:fldChar w:fldCharType="begin"/>
      </w:r>
      <w:r>
        <w:instrText>HYPERLINK "http://paperpile.com/b/pirA7c/PbIj" \h</w:instrText>
      </w:r>
      <w:r>
        <w:fldChar w:fldCharType="separate"/>
      </w:r>
      <w:r>
        <w:rPr>
          <w:rFonts w:ascii="Times New Roman" w:eastAsia="Times New Roman" w:hAnsi="Times New Roman" w:cs="Times New Roman"/>
          <w:i/>
          <w:color w:val="000000"/>
        </w:rPr>
        <w:t>Nat. Genet.</w:t>
      </w:r>
      <w:r>
        <w:fldChar w:fldCharType="end"/>
      </w:r>
      <w:r>
        <w:fldChar w:fldCharType="begin"/>
      </w:r>
      <w:r>
        <w:instrText>HYPERLINK "http://paperpile.com/b/pirA7c/PbIj" \h</w:instrText>
      </w:r>
      <w:r>
        <w:fldChar w:fldCharType="separate"/>
      </w:r>
      <w:r>
        <w:rPr>
          <w:rFonts w:ascii="Times New Roman" w:eastAsia="Times New Roman" w:hAnsi="Times New Roman" w:cs="Times New Roman"/>
          <w:color w:val="000000"/>
        </w:rPr>
        <w:t xml:space="preserve"> 12:398–403.</w:t>
      </w:r>
      <w:r>
        <w:fldChar w:fldCharType="end"/>
      </w:r>
    </w:p>
    <w:p w14:paraId="3B399CC1" w14:textId="64D1EA06" w:rsidR="00EF30E6" w:rsidRDefault="00EF30E6">
      <w:pPr>
        <w:widowControl w:val="0"/>
        <w:pBdr>
          <w:top w:val="nil"/>
          <w:left w:val="nil"/>
          <w:bottom w:val="nil"/>
          <w:right w:val="nil"/>
          <w:between w:val="nil"/>
        </w:pBdr>
        <w:spacing w:after="220" w:line="240" w:lineRule="auto"/>
        <w:ind w:left="440" w:hanging="440"/>
        <w:pPrChange w:id="212" w:author="Author" w:date="2024-12-27T12:21:00Z" w16du:dateUtc="2024-12-27T11:21:00Z">
          <w:pPr>
            <w:widowControl w:val="0"/>
            <w:pBdr>
              <w:top w:val="nil"/>
              <w:left w:val="nil"/>
              <w:bottom w:val="nil"/>
              <w:right w:val="nil"/>
              <w:between w:val="nil"/>
            </w:pBdr>
          </w:pPr>
        </w:pPrChange>
      </w:pPr>
    </w:p>
    <w:sectPr w:rsidR="00EF30E6">
      <w:headerReference w:type="default" r:id="rId12"/>
      <w:footerReference w:type="default" r:id="rId13"/>
      <w:pgSz w:w="11909" w:h="16834"/>
      <w:pgMar w:top="1440" w:right="1440" w:bottom="1440" w:left="1440" w:header="720" w:footer="720" w:gutter="0"/>
      <w:lnNumType w:countBy="1"/>
      <w:pgNumType w:start="1"/>
      <w:cols w:space="720"/>
      <w:sectPrChange w:id="214" w:author="Author" w:date="2024-12-27T12:21:00Z" w16du:dateUtc="2024-12-27T11:21:00Z">
        <w:sectPr w:rsidR="00EF30E6">
          <w:pgMar w:top="1440" w:right="1440" w:bottom="1440" w:left="1440" w:header="720" w:footer="720" w:gutter="0"/>
          <w:lnNumType w:countBy="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1" w:author="Gert Wörheide" w:date="2024-08-28T08:44:00Z" w:initials="">
    <w:p w14:paraId="007DB9BB" w14:textId="77777777" w:rsidR="00B44343" w:rsidRDefault="00000000">
      <w:pPr>
        <w:widowControl w:val="0"/>
        <w:pBdr>
          <w:top w:val="nil"/>
          <w:left w:val="nil"/>
          <w:bottom w:val="nil"/>
          <w:right w:val="nil"/>
          <w:between w:val="nil"/>
        </w:pBdr>
        <w:spacing w:line="240" w:lineRule="auto"/>
        <w:rPr>
          <w:color w:val="000000"/>
        </w:rPr>
      </w:pPr>
      <w:r>
        <w:rPr>
          <w:color w:val="000000"/>
        </w:rPr>
        <w:t>note to self: update Zenodo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7DB9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7DB9BB" w16cid:durableId="093E7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D0F0" w14:textId="77777777" w:rsidR="00833B95" w:rsidRDefault="00833B95">
      <w:pPr>
        <w:spacing w:line="240" w:lineRule="auto"/>
      </w:pPr>
      <w:r>
        <w:separator/>
      </w:r>
    </w:p>
  </w:endnote>
  <w:endnote w:type="continuationSeparator" w:id="0">
    <w:p w14:paraId="642F4B1B" w14:textId="77777777" w:rsidR="00833B95" w:rsidRDefault="00833B95">
      <w:pPr>
        <w:spacing w:line="240" w:lineRule="auto"/>
      </w:pPr>
      <w:r>
        <w:continuationSeparator/>
      </w:r>
    </w:p>
  </w:endnote>
  <w:endnote w:type="continuationNotice" w:id="1">
    <w:p w14:paraId="7E0C4057" w14:textId="77777777" w:rsidR="00833B95" w:rsidRDefault="00833B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73A4" w14:textId="5A06A961" w:rsidR="00EF30E6" w:rsidRDefault="00000000">
    <w:pPr>
      <w:jc w:val="right"/>
      <w:rPr>
        <w:ins w:id="213" w:author="Author" w:date="2024-12-27T12:21:00Z" w16du:dateUtc="2024-12-27T11:21:00Z"/>
      </w:rPr>
    </w:pPr>
    <w:r>
      <w:fldChar w:fldCharType="begin"/>
    </w:r>
    <w:r>
      <w:instrText>PAGE</w:instrText>
    </w:r>
    <w:r>
      <w:fldChar w:fldCharType="separate"/>
    </w:r>
    <w:r w:rsidR="00B01004">
      <w:rPr>
        <w:noProof/>
      </w:rPr>
      <w:t>1</w:t>
    </w:r>
    <w:r>
      <w:fldChar w:fldCharType="end"/>
    </w:r>
  </w:p>
  <w:p w14:paraId="19441C71" w14:textId="77777777" w:rsidR="00EF30E6" w:rsidRDefault="00EF30E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18A76" w14:textId="77777777" w:rsidR="00833B95" w:rsidRDefault="00833B95">
      <w:pPr>
        <w:spacing w:line="240" w:lineRule="auto"/>
      </w:pPr>
      <w:r>
        <w:separator/>
      </w:r>
    </w:p>
  </w:footnote>
  <w:footnote w:type="continuationSeparator" w:id="0">
    <w:p w14:paraId="425E2A85" w14:textId="77777777" w:rsidR="00833B95" w:rsidRDefault="00833B95">
      <w:pPr>
        <w:spacing w:line="240" w:lineRule="auto"/>
      </w:pPr>
      <w:r>
        <w:continuationSeparator/>
      </w:r>
    </w:p>
  </w:footnote>
  <w:footnote w:type="continuationNotice" w:id="1">
    <w:p w14:paraId="4C9E9F0B" w14:textId="77777777" w:rsidR="00833B95" w:rsidRDefault="00833B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A211" w14:textId="77777777" w:rsidR="00B01004" w:rsidRDefault="00B0100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t Wörheide">
    <w15:presenceInfo w15:providerId="None" w15:userId="Gert Wörhe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0E6"/>
    <w:rsid w:val="003D5F43"/>
    <w:rsid w:val="00833B95"/>
    <w:rsid w:val="009122CC"/>
    <w:rsid w:val="00B01004"/>
    <w:rsid w:val="00B44343"/>
    <w:rsid w:val="00B97D9C"/>
    <w:rsid w:val="00EF30E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docId w15:val="{9895C885-4DA1-E045-BE31-1193AD7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sz w:val="34"/>
      <w:szCs w:val="3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B01004"/>
    <w:pPr>
      <w:spacing w:line="240" w:lineRule="auto"/>
    </w:pPr>
    <w:rPr>
      <w:sz w:val="20"/>
      <w:szCs w:val="20"/>
    </w:rPr>
  </w:style>
  <w:style w:type="character" w:customStyle="1" w:styleId="CommentTextChar">
    <w:name w:val="Comment Text Char"/>
    <w:basedOn w:val="DefaultParagraphFont"/>
    <w:link w:val="CommentText"/>
    <w:uiPriority w:val="99"/>
    <w:semiHidden/>
    <w:rsid w:val="00B01004"/>
    <w:rPr>
      <w:sz w:val="20"/>
      <w:szCs w:val="20"/>
    </w:rPr>
  </w:style>
  <w:style w:type="character" w:styleId="CommentReference">
    <w:name w:val="annotation reference"/>
    <w:basedOn w:val="DefaultParagraphFont"/>
    <w:uiPriority w:val="99"/>
    <w:semiHidden/>
    <w:unhideWhenUsed/>
    <w:rsid w:val="00B01004"/>
    <w:rPr>
      <w:sz w:val="16"/>
      <w:szCs w:val="16"/>
    </w:rPr>
  </w:style>
  <w:style w:type="paragraph" w:styleId="Header">
    <w:name w:val="header"/>
    <w:basedOn w:val="Normal"/>
    <w:link w:val="HeaderChar"/>
    <w:uiPriority w:val="99"/>
    <w:unhideWhenUsed/>
    <w:rsid w:val="00B01004"/>
    <w:pPr>
      <w:tabs>
        <w:tab w:val="center" w:pos="4513"/>
        <w:tab w:val="right" w:pos="9026"/>
      </w:tabs>
      <w:spacing w:line="240" w:lineRule="auto"/>
    </w:pPr>
  </w:style>
  <w:style w:type="character" w:customStyle="1" w:styleId="HeaderChar">
    <w:name w:val="Header Char"/>
    <w:basedOn w:val="DefaultParagraphFont"/>
    <w:link w:val="Header"/>
    <w:uiPriority w:val="99"/>
    <w:rsid w:val="00B01004"/>
  </w:style>
  <w:style w:type="character" w:styleId="LineNumber">
    <w:name w:val="line number"/>
    <w:basedOn w:val="DefaultParagraphFont"/>
    <w:uiPriority w:val="99"/>
    <w:semiHidden/>
    <w:unhideWhenUsed/>
    <w:rsid w:val="00B0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endnotes" Target="end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7567</Words>
  <Characters>43588</Characters>
  <Application>Microsoft Office Word</Application>
  <DocSecurity>0</DocSecurity>
  <Lines>764</Lines>
  <Paragraphs>321</Paragraphs>
  <ScaleCrop>false</ScaleCrop>
  <Company>LMU München</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Wörheide, Gert</cp:lastModifiedBy>
  <cp:revision>1</cp:revision>
  <dcterms:created xsi:type="dcterms:W3CDTF">2024-12-27T11:20:00Z</dcterms:created>
  <dcterms:modified xsi:type="dcterms:W3CDTF">2024-12-27T11:21:00Z</dcterms:modified>
</cp:coreProperties>
</file>